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76" w:rsidRPr="005A3DC8" w:rsidRDefault="000B36CB" w:rsidP="00B87094">
      <w:pPr>
        <w:spacing w:line="240" w:lineRule="auto"/>
        <w:outlineLvl w:val="0"/>
        <w:rPr>
          <w:b/>
          <w:sz w:val="32"/>
          <w:szCs w:val="32"/>
        </w:rPr>
      </w:pPr>
      <w:r w:rsidRPr="005A3DC8">
        <w:rPr>
          <w:b/>
          <w:sz w:val="32"/>
          <w:szCs w:val="32"/>
        </w:rPr>
        <w:t>Vernehmlassung zu</w:t>
      </w:r>
      <w:r w:rsidR="007C1D63">
        <w:rPr>
          <w:b/>
          <w:sz w:val="32"/>
          <w:szCs w:val="32"/>
        </w:rPr>
        <w:t>r Teilrevision des Gesetzes über die steueramtliche Schätzung landwirtschaftliche</w:t>
      </w:r>
      <w:r w:rsidR="00D76055">
        <w:rPr>
          <w:b/>
          <w:sz w:val="32"/>
          <w:szCs w:val="32"/>
        </w:rPr>
        <w:t>r</w:t>
      </w:r>
      <w:r w:rsidR="007C1D63">
        <w:rPr>
          <w:b/>
          <w:sz w:val="32"/>
          <w:szCs w:val="32"/>
        </w:rPr>
        <w:t xml:space="preserve"> Grundstücke und Gewerbe (LSchätzG, SRSZ 172.220)</w:t>
      </w:r>
    </w:p>
    <w:p w:rsidR="00067668" w:rsidRPr="005A3DC8" w:rsidRDefault="00067668" w:rsidP="00B87094">
      <w:pPr>
        <w:spacing w:line="240" w:lineRule="auto"/>
        <w:outlineLvl w:val="0"/>
      </w:pPr>
    </w:p>
    <w:p w:rsidR="0077542D" w:rsidRPr="003E4FCD" w:rsidRDefault="00067668" w:rsidP="00B87094">
      <w:pPr>
        <w:spacing w:line="240" w:lineRule="auto"/>
        <w:outlineLvl w:val="0"/>
      </w:pPr>
      <w:r w:rsidRPr="003E4FCD">
        <w:t>Sehr geehrte Vernehmlassung</w:t>
      </w:r>
      <w:r w:rsidR="00D80B5A" w:rsidRPr="003E4FCD">
        <w:t>steilnehmer</w:t>
      </w:r>
    </w:p>
    <w:p w:rsidR="00067668" w:rsidRPr="00E338FA" w:rsidRDefault="00067668" w:rsidP="00B87094">
      <w:pPr>
        <w:spacing w:line="240" w:lineRule="auto"/>
        <w:outlineLvl w:val="0"/>
      </w:pPr>
    </w:p>
    <w:p w:rsidR="00385A09" w:rsidRDefault="00385A09" w:rsidP="00B87094">
      <w:pPr>
        <w:spacing w:line="240" w:lineRule="auto"/>
        <w:outlineLvl w:val="0"/>
        <w:rPr>
          <w:sz w:val="20"/>
          <w:szCs w:val="20"/>
        </w:rPr>
      </w:pPr>
      <w:r w:rsidRPr="007A7720">
        <w:rPr>
          <w:sz w:val="20"/>
          <w:szCs w:val="20"/>
        </w:rPr>
        <w:t xml:space="preserve">Das Vernehmlassungsverfahren </w:t>
      </w:r>
      <w:r w:rsidR="00E338FA" w:rsidRPr="007A7720">
        <w:rPr>
          <w:sz w:val="20"/>
          <w:szCs w:val="20"/>
        </w:rPr>
        <w:t xml:space="preserve">betreffend </w:t>
      </w:r>
      <w:r w:rsidR="007C1D63">
        <w:rPr>
          <w:sz w:val="20"/>
          <w:szCs w:val="20"/>
        </w:rPr>
        <w:t xml:space="preserve">Teilrevision LSchätzG </w:t>
      </w:r>
      <w:r w:rsidRPr="007A7720">
        <w:rPr>
          <w:sz w:val="20"/>
          <w:szCs w:val="20"/>
        </w:rPr>
        <w:t xml:space="preserve">umfasst zwei </w:t>
      </w:r>
      <w:r w:rsidR="007C1D63">
        <w:rPr>
          <w:sz w:val="20"/>
          <w:szCs w:val="20"/>
        </w:rPr>
        <w:t>Vorlagen</w:t>
      </w:r>
      <w:r w:rsidR="00787F1A">
        <w:rPr>
          <w:sz w:val="20"/>
          <w:szCs w:val="20"/>
        </w:rPr>
        <w:t xml:space="preserve"> (Motionsvorlage und Gegenvorschlag)</w:t>
      </w:r>
      <w:r w:rsidR="00837F03" w:rsidRPr="007A7720">
        <w:rPr>
          <w:sz w:val="20"/>
          <w:szCs w:val="20"/>
        </w:rPr>
        <w:t>.</w:t>
      </w:r>
      <w:r w:rsidR="00837F03" w:rsidRPr="00EC7684">
        <w:rPr>
          <w:sz w:val="20"/>
          <w:szCs w:val="20"/>
        </w:rPr>
        <w:t xml:space="preserve"> </w:t>
      </w:r>
      <w:r w:rsidR="00837F03" w:rsidRPr="006F77B6">
        <w:rPr>
          <w:sz w:val="20"/>
          <w:szCs w:val="20"/>
        </w:rPr>
        <w:t xml:space="preserve">Beide </w:t>
      </w:r>
      <w:r w:rsidR="00787F1A">
        <w:rPr>
          <w:sz w:val="20"/>
          <w:szCs w:val="20"/>
        </w:rPr>
        <w:t xml:space="preserve">Vorlagen </w:t>
      </w:r>
      <w:r w:rsidR="007C1D63">
        <w:rPr>
          <w:sz w:val="20"/>
          <w:szCs w:val="20"/>
        </w:rPr>
        <w:t xml:space="preserve">betreffen </w:t>
      </w:r>
      <w:r w:rsidR="00787F1A">
        <w:rPr>
          <w:sz w:val="20"/>
          <w:szCs w:val="20"/>
        </w:rPr>
        <w:t xml:space="preserve">den </w:t>
      </w:r>
      <w:r w:rsidR="007C1D63">
        <w:rPr>
          <w:sz w:val="20"/>
          <w:szCs w:val="20"/>
        </w:rPr>
        <w:t xml:space="preserve">geltenden § 6 LSchätzG, der </w:t>
      </w:r>
      <w:r w:rsidR="006F77B6">
        <w:rPr>
          <w:sz w:val="20"/>
          <w:szCs w:val="20"/>
        </w:rPr>
        <w:t xml:space="preserve">die </w:t>
      </w:r>
      <w:r w:rsidR="007C1D63">
        <w:rPr>
          <w:sz w:val="20"/>
          <w:szCs w:val="20"/>
        </w:rPr>
        <w:t>generelle Neuschätzung im Bereich der Landwirtschaft regelt.</w:t>
      </w:r>
      <w:r w:rsidR="006F77B6" w:rsidRPr="006F77B6">
        <w:rPr>
          <w:sz w:val="20"/>
          <w:szCs w:val="20"/>
        </w:rPr>
        <w:t xml:space="preserve"> </w:t>
      </w:r>
      <w:r w:rsidR="001E2B62" w:rsidRPr="006F77B6">
        <w:rPr>
          <w:sz w:val="20"/>
          <w:szCs w:val="20"/>
        </w:rPr>
        <w:t xml:space="preserve">Die </w:t>
      </w:r>
      <w:r w:rsidRPr="006F77B6">
        <w:rPr>
          <w:b/>
          <w:sz w:val="20"/>
          <w:szCs w:val="20"/>
        </w:rPr>
        <w:t>V</w:t>
      </w:r>
      <w:r w:rsidR="00232BF7">
        <w:rPr>
          <w:b/>
          <w:sz w:val="20"/>
          <w:szCs w:val="20"/>
        </w:rPr>
        <w:t>orlage 1</w:t>
      </w:r>
      <w:r w:rsidR="00EC7684">
        <w:rPr>
          <w:b/>
          <w:sz w:val="20"/>
          <w:szCs w:val="20"/>
        </w:rPr>
        <w:t xml:space="preserve"> </w:t>
      </w:r>
      <w:r w:rsidR="00232BF7">
        <w:rPr>
          <w:b/>
          <w:sz w:val="20"/>
          <w:szCs w:val="20"/>
        </w:rPr>
        <w:t>(</w:t>
      </w:r>
      <w:r w:rsidR="007C1D63">
        <w:rPr>
          <w:b/>
          <w:sz w:val="20"/>
          <w:szCs w:val="20"/>
        </w:rPr>
        <w:t xml:space="preserve">Umsetzung Motion M 14/19) </w:t>
      </w:r>
      <w:r w:rsidR="009F44A4">
        <w:rPr>
          <w:sz w:val="20"/>
          <w:szCs w:val="20"/>
        </w:rPr>
        <w:t xml:space="preserve">sieht vor, </w:t>
      </w:r>
      <w:r w:rsidR="00787F1A">
        <w:rPr>
          <w:sz w:val="20"/>
          <w:szCs w:val="20"/>
        </w:rPr>
        <w:t>den Kantonsrat rückwirkend auf den 1. Januar 2018 zur Anordnung von generellen Neuschätzungen zuständig zu erklären. Diese Gesetzesänderung hätte direkte Auswirkungen auf die seit Januar 2019 laufende generelle Neuschätzung. Die gesetzliche Grundlage zur Weiterführung der generellen Neuschätzung würde entfallen, bis der Kantonsrat wieder Beschluss darüber gefasst hätte, dass eine generelle Neuschätzung stattfinden soll. B</w:t>
      </w:r>
      <w:r w:rsidR="00BA1B8D">
        <w:rPr>
          <w:sz w:val="20"/>
          <w:szCs w:val="20"/>
        </w:rPr>
        <w:t xml:space="preserve">ei der </w:t>
      </w:r>
      <w:r w:rsidR="00BA1B8D" w:rsidRPr="00C43CEB">
        <w:rPr>
          <w:b/>
          <w:sz w:val="20"/>
          <w:szCs w:val="20"/>
        </w:rPr>
        <w:t>V</w:t>
      </w:r>
      <w:r w:rsidR="00787F1A">
        <w:rPr>
          <w:b/>
          <w:sz w:val="20"/>
          <w:szCs w:val="20"/>
        </w:rPr>
        <w:t xml:space="preserve">orlage 2 (Gegenvorschlag) </w:t>
      </w:r>
      <w:r w:rsidR="00BA1B8D">
        <w:rPr>
          <w:sz w:val="20"/>
          <w:szCs w:val="20"/>
        </w:rPr>
        <w:t>soll</w:t>
      </w:r>
      <w:r w:rsidR="00787F1A">
        <w:rPr>
          <w:sz w:val="20"/>
          <w:szCs w:val="20"/>
        </w:rPr>
        <w:t xml:space="preserve"> d</w:t>
      </w:r>
      <w:r w:rsidR="003433FC">
        <w:rPr>
          <w:sz w:val="20"/>
          <w:szCs w:val="20"/>
        </w:rPr>
        <w:t xml:space="preserve">ie </w:t>
      </w:r>
      <w:r w:rsidR="00787F1A">
        <w:rPr>
          <w:sz w:val="20"/>
          <w:szCs w:val="20"/>
        </w:rPr>
        <w:t xml:space="preserve">heute bestehende gesetzliche </w:t>
      </w:r>
      <w:r w:rsidR="003433FC">
        <w:rPr>
          <w:sz w:val="20"/>
          <w:szCs w:val="20"/>
        </w:rPr>
        <w:t xml:space="preserve">Regelung, </w:t>
      </w:r>
      <w:r w:rsidR="00787F1A">
        <w:rPr>
          <w:sz w:val="20"/>
          <w:szCs w:val="20"/>
        </w:rPr>
        <w:t xml:space="preserve">wonach bei Erlass einer neuen eidg. Schätzungsanleitung eine generelle Neuschätzung der landwirtschaftlichen Grundstücke und Gewerbe immer dann zu erfolgen habe, wenn sich die Schätzungswerte aufgrund der </w:t>
      </w:r>
      <w:r w:rsidR="003433FC">
        <w:rPr>
          <w:sz w:val="20"/>
          <w:szCs w:val="20"/>
        </w:rPr>
        <w:t xml:space="preserve">neuen </w:t>
      </w:r>
      <w:r w:rsidR="00787F1A">
        <w:rPr>
          <w:sz w:val="20"/>
          <w:szCs w:val="20"/>
        </w:rPr>
        <w:t xml:space="preserve">Schätzungsanleitung mindestens </w:t>
      </w:r>
      <w:r w:rsidR="003433FC">
        <w:rPr>
          <w:sz w:val="20"/>
          <w:szCs w:val="20"/>
        </w:rPr>
        <w:t xml:space="preserve">um 20% verändern, beibehalten werden. Die neuen Schätzungswerte sollen jedoch erstmals auf die dritte der Inkraftsetzung der neuen Schätzungsanleitung folgende Steuerperiode Anwendung finden. Die Schätzungswerte der laufenden Neuschätzung würden danach erstmals für die Steuerperiode 2021 zur Anwendung gelangen. </w:t>
      </w:r>
    </w:p>
    <w:p w:rsidR="003433FC" w:rsidRPr="007A7720" w:rsidRDefault="003433FC" w:rsidP="00B87094">
      <w:pPr>
        <w:spacing w:line="240" w:lineRule="auto"/>
        <w:outlineLvl w:val="0"/>
        <w:rPr>
          <w:sz w:val="20"/>
          <w:szCs w:val="20"/>
        </w:rPr>
      </w:pPr>
    </w:p>
    <w:p w:rsidR="002530CC" w:rsidRPr="007A7720" w:rsidRDefault="00C7498A" w:rsidP="00B87094">
      <w:pPr>
        <w:spacing w:line="240" w:lineRule="auto"/>
        <w:outlineLvl w:val="0"/>
        <w:rPr>
          <w:sz w:val="20"/>
          <w:szCs w:val="20"/>
        </w:rPr>
      </w:pPr>
      <w:r w:rsidRPr="007A7720">
        <w:rPr>
          <w:sz w:val="20"/>
          <w:szCs w:val="20"/>
        </w:rPr>
        <w:t xml:space="preserve">Das Vernehmlassungsverfahren </w:t>
      </w:r>
      <w:r w:rsidR="00067668" w:rsidRPr="007A7720">
        <w:rPr>
          <w:sz w:val="20"/>
          <w:szCs w:val="20"/>
        </w:rPr>
        <w:t>wird elektronisch durchgeführt. Wir bitten Sie, für Ihre Stellungnahme dieses Formular zu verwen</w:t>
      </w:r>
      <w:r w:rsidR="002530CC" w:rsidRPr="007A7720">
        <w:rPr>
          <w:sz w:val="20"/>
          <w:szCs w:val="20"/>
        </w:rPr>
        <w:t>den. Dieses gliedert sich in zwei Teile:</w:t>
      </w:r>
    </w:p>
    <w:p w:rsidR="0083682F" w:rsidRPr="007A7720" w:rsidRDefault="0083682F" w:rsidP="00B87094">
      <w:pPr>
        <w:spacing w:line="240" w:lineRule="auto"/>
        <w:outlineLvl w:val="0"/>
        <w:rPr>
          <w:sz w:val="20"/>
          <w:szCs w:val="20"/>
        </w:rPr>
      </w:pPr>
    </w:p>
    <w:p w:rsidR="002530CC" w:rsidRPr="007A7720" w:rsidRDefault="002530CC" w:rsidP="00B87094">
      <w:pPr>
        <w:spacing w:line="240" w:lineRule="auto"/>
        <w:outlineLvl w:val="0"/>
        <w:rPr>
          <w:sz w:val="20"/>
          <w:szCs w:val="20"/>
        </w:rPr>
      </w:pPr>
      <w:r w:rsidRPr="007A7720">
        <w:rPr>
          <w:sz w:val="20"/>
          <w:szCs w:val="20"/>
        </w:rPr>
        <w:t>A. Allgemeine Vernehmlassungsfragen</w:t>
      </w:r>
    </w:p>
    <w:p w:rsidR="002530CC" w:rsidRPr="007A7720" w:rsidRDefault="002530CC" w:rsidP="00B87094">
      <w:pPr>
        <w:spacing w:line="240" w:lineRule="auto"/>
        <w:outlineLvl w:val="0"/>
        <w:rPr>
          <w:sz w:val="20"/>
          <w:szCs w:val="20"/>
        </w:rPr>
      </w:pPr>
      <w:r w:rsidRPr="007A7720">
        <w:rPr>
          <w:sz w:val="20"/>
          <w:szCs w:val="20"/>
        </w:rPr>
        <w:t>B. Vernehmlassung zu den einzelnen Bestimmungen</w:t>
      </w:r>
      <w:r w:rsidR="00AA2C09" w:rsidRPr="007A7720">
        <w:rPr>
          <w:sz w:val="20"/>
          <w:szCs w:val="20"/>
        </w:rPr>
        <w:t>.</w:t>
      </w:r>
    </w:p>
    <w:p w:rsidR="002530CC" w:rsidRPr="007A7720" w:rsidRDefault="002530CC" w:rsidP="00B87094">
      <w:pPr>
        <w:spacing w:line="240" w:lineRule="auto"/>
        <w:outlineLvl w:val="0"/>
        <w:rPr>
          <w:sz w:val="20"/>
          <w:szCs w:val="20"/>
        </w:rPr>
      </w:pPr>
    </w:p>
    <w:p w:rsidR="0088471E" w:rsidRPr="007A7720" w:rsidRDefault="00AA2C09" w:rsidP="00B87094">
      <w:pPr>
        <w:spacing w:line="240" w:lineRule="auto"/>
        <w:outlineLvl w:val="0"/>
        <w:rPr>
          <w:sz w:val="20"/>
          <w:szCs w:val="20"/>
        </w:rPr>
      </w:pPr>
      <w:r w:rsidRPr="007A7720">
        <w:rPr>
          <w:sz w:val="20"/>
          <w:szCs w:val="20"/>
        </w:rPr>
        <w:t>Teil</w:t>
      </w:r>
      <w:r w:rsidR="00D80B5A">
        <w:rPr>
          <w:sz w:val="20"/>
          <w:szCs w:val="20"/>
        </w:rPr>
        <w:t xml:space="preserve"> A bezweckt eine </w:t>
      </w:r>
      <w:r w:rsidRPr="007A7720">
        <w:rPr>
          <w:sz w:val="20"/>
          <w:szCs w:val="20"/>
        </w:rPr>
        <w:t xml:space="preserve">Gesamtbeurteilung der </w:t>
      </w:r>
      <w:r w:rsidR="003433FC">
        <w:rPr>
          <w:sz w:val="20"/>
          <w:szCs w:val="20"/>
        </w:rPr>
        <w:t xml:space="preserve">jeweiligen </w:t>
      </w:r>
      <w:r w:rsidRPr="007A7720">
        <w:rPr>
          <w:sz w:val="20"/>
          <w:szCs w:val="20"/>
        </w:rPr>
        <w:t>Vernehmlassungs</w:t>
      </w:r>
      <w:r w:rsidR="003433FC">
        <w:rPr>
          <w:sz w:val="20"/>
          <w:szCs w:val="20"/>
        </w:rPr>
        <w:t xml:space="preserve">vorlagen. </w:t>
      </w:r>
      <w:r w:rsidR="002530CC" w:rsidRPr="007A7720">
        <w:rPr>
          <w:sz w:val="20"/>
          <w:szCs w:val="20"/>
        </w:rPr>
        <w:t xml:space="preserve">Teil B umfasst die </w:t>
      </w:r>
      <w:r w:rsidR="00684EF6" w:rsidRPr="007A7720">
        <w:rPr>
          <w:sz w:val="20"/>
          <w:szCs w:val="20"/>
        </w:rPr>
        <w:t xml:space="preserve">besonderen Bestimmungen </w:t>
      </w:r>
      <w:r w:rsidR="003433FC">
        <w:rPr>
          <w:sz w:val="20"/>
          <w:szCs w:val="20"/>
        </w:rPr>
        <w:t xml:space="preserve">der Motionsvorlage </w:t>
      </w:r>
      <w:r w:rsidR="0088471E" w:rsidRPr="007A7720">
        <w:rPr>
          <w:sz w:val="20"/>
          <w:szCs w:val="20"/>
        </w:rPr>
        <w:t>(</w:t>
      </w:r>
      <w:r w:rsidR="00BB19A0" w:rsidRPr="007A7720">
        <w:rPr>
          <w:sz w:val="20"/>
          <w:szCs w:val="20"/>
        </w:rPr>
        <w:t xml:space="preserve">Ziffer </w:t>
      </w:r>
      <w:r w:rsidR="0088471E" w:rsidRPr="007A7720">
        <w:rPr>
          <w:sz w:val="20"/>
          <w:szCs w:val="20"/>
        </w:rPr>
        <w:t xml:space="preserve">I) </w:t>
      </w:r>
      <w:r w:rsidR="00684EF6" w:rsidRPr="007A7720">
        <w:rPr>
          <w:sz w:val="20"/>
          <w:szCs w:val="20"/>
        </w:rPr>
        <w:t xml:space="preserve">und </w:t>
      </w:r>
      <w:r w:rsidR="003433FC">
        <w:rPr>
          <w:sz w:val="20"/>
          <w:szCs w:val="20"/>
        </w:rPr>
        <w:t xml:space="preserve">des Gegenvorschlags </w:t>
      </w:r>
      <w:r w:rsidR="0088471E" w:rsidRPr="007A7720">
        <w:rPr>
          <w:sz w:val="20"/>
          <w:szCs w:val="20"/>
        </w:rPr>
        <w:t>(</w:t>
      </w:r>
      <w:r w:rsidR="00BB19A0" w:rsidRPr="007A7720">
        <w:rPr>
          <w:sz w:val="20"/>
          <w:szCs w:val="20"/>
        </w:rPr>
        <w:t xml:space="preserve">Ziffer </w:t>
      </w:r>
      <w:r w:rsidR="0088471E" w:rsidRPr="007A7720">
        <w:rPr>
          <w:sz w:val="20"/>
          <w:szCs w:val="20"/>
        </w:rPr>
        <w:t>II)</w:t>
      </w:r>
      <w:r w:rsidR="003433FC">
        <w:rPr>
          <w:sz w:val="20"/>
          <w:szCs w:val="20"/>
        </w:rPr>
        <w:t xml:space="preserve">. </w:t>
      </w:r>
      <w:r w:rsidR="00D80B5A">
        <w:rPr>
          <w:sz w:val="20"/>
          <w:szCs w:val="20"/>
        </w:rPr>
        <w:t>Wir bitten Sie, I</w:t>
      </w:r>
      <w:r w:rsidR="0088471E" w:rsidRPr="007A7720">
        <w:rPr>
          <w:sz w:val="20"/>
          <w:szCs w:val="20"/>
        </w:rPr>
        <w:t xml:space="preserve">hre Bemerkungen </w:t>
      </w:r>
      <w:r w:rsidR="00067668" w:rsidRPr="007A7720">
        <w:rPr>
          <w:sz w:val="20"/>
          <w:szCs w:val="20"/>
        </w:rPr>
        <w:t xml:space="preserve">zu den </w:t>
      </w:r>
      <w:r w:rsidR="0088471E" w:rsidRPr="007A7720">
        <w:rPr>
          <w:sz w:val="20"/>
          <w:szCs w:val="20"/>
        </w:rPr>
        <w:t xml:space="preserve">jeweiligen </w:t>
      </w:r>
      <w:r w:rsidR="00964FF6" w:rsidRPr="007A7720">
        <w:rPr>
          <w:sz w:val="20"/>
          <w:szCs w:val="20"/>
        </w:rPr>
        <w:t>Gesetzesbestimmungen ausschliesslich</w:t>
      </w:r>
      <w:r w:rsidR="00067668" w:rsidRPr="007A7720">
        <w:rPr>
          <w:sz w:val="20"/>
          <w:szCs w:val="20"/>
        </w:rPr>
        <w:t xml:space="preserve"> in der dritten Spalte </w:t>
      </w:r>
      <w:r w:rsidR="00964FF6" w:rsidRPr="007A7720">
        <w:rPr>
          <w:sz w:val="20"/>
          <w:szCs w:val="20"/>
        </w:rPr>
        <w:t xml:space="preserve">(Bemerkungen) </w:t>
      </w:r>
      <w:r w:rsidR="00067668" w:rsidRPr="007A7720">
        <w:rPr>
          <w:sz w:val="20"/>
          <w:szCs w:val="20"/>
        </w:rPr>
        <w:t>einzutrag</w:t>
      </w:r>
      <w:r w:rsidR="00837F03" w:rsidRPr="007A7720">
        <w:rPr>
          <w:sz w:val="20"/>
          <w:szCs w:val="20"/>
        </w:rPr>
        <w:t>en</w:t>
      </w:r>
      <w:r w:rsidR="0088471E" w:rsidRPr="007A7720">
        <w:rPr>
          <w:sz w:val="20"/>
          <w:szCs w:val="20"/>
        </w:rPr>
        <w:t>.</w:t>
      </w:r>
    </w:p>
    <w:p w:rsidR="0088471E" w:rsidRPr="007A7720" w:rsidRDefault="0088471E" w:rsidP="00B87094">
      <w:pPr>
        <w:spacing w:line="240" w:lineRule="auto"/>
        <w:outlineLvl w:val="0"/>
        <w:rPr>
          <w:sz w:val="20"/>
          <w:szCs w:val="20"/>
        </w:rPr>
      </w:pPr>
    </w:p>
    <w:p w:rsidR="00D80B5A" w:rsidRDefault="00EB5C22" w:rsidP="00D80B5A">
      <w:pPr>
        <w:spacing w:line="240" w:lineRule="auto"/>
        <w:outlineLvl w:val="0"/>
        <w:rPr>
          <w:sz w:val="20"/>
          <w:szCs w:val="20"/>
        </w:rPr>
      </w:pPr>
      <w:r w:rsidRPr="007A7720">
        <w:rPr>
          <w:sz w:val="20"/>
          <w:szCs w:val="20"/>
        </w:rPr>
        <w:t>Wir</w:t>
      </w:r>
      <w:r w:rsidR="000F7D0B" w:rsidRPr="007A7720">
        <w:rPr>
          <w:sz w:val="20"/>
          <w:szCs w:val="20"/>
        </w:rPr>
        <w:t xml:space="preserve"> danken Ihnen für eine Stellungnahme zu </w:t>
      </w:r>
      <w:r w:rsidR="003433FC">
        <w:rPr>
          <w:sz w:val="20"/>
          <w:szCs w:val="20"/>
        </w:rPr>
        <w:t xml:space="preserve">beiden Vorlagen. </w:t>
      </w:r>
      <w:r w:rsidR="00067668" w:rsidRPr="007A7720">
        <w:rPr>
          <w:sz w:val="20"/>
          <w:szCs w:val="20"/>
        </w:rPr>
        <w:t xml:space="preserve">Bitte senden Sie uns die elektronische Version Ihrer Stellungnahme </w:t>
      </w:r>
      <w:r w:rsidR="00867DC6" w:rsidRPr="007A7720">
        <w:rPr>
          <w:sz w:val="20"/>
          <w:szCs w:val="20"/>
        </w:rPr>
        <w:t xml:space="preserve">(Word- und PDF-Version) </w:t>
      </w:r>
      <w:r w:rsidR="00067668" w:rsidRPr="007A7720">
        <w:rPr>
          <w:sz w:val="20"/>
          <w:szCs w:val="20"/>
        </w:rPr>
        <w:t>bis spä</w:t>
      </w:r>
      <w:r w:rsidR="00867DC6" w:rsidRPr="007A7720">
        <w:rPr>
          <w:sz w:val="20"/>
          <w:szCs w:val="20"/>
        </w:rPr>
        <w:t>testens</w:t>
      </w:r>
      <w:r w:rsidR="00067668" w:rsidRPr="007A7720">
        <w:rPr>
          <w:sz w:val="20"/>
          <w:szCs w:val="20"/>
        </w:rPr>
        <w:t xml:space="preserve"> </w:t>
      </w:r>
      <w:r w:rsidR="009E65A1" w:rsidRPr="007A7720">
        <w:rPr>
          <w:b/>
          <w:sz w:val="20"/>
          <w:szCs w:val="20"/>
        </w:rPr>
        <w:t>1</w:t>
      </w:r>
      <w:r w:rsidR="00787F1A">
        <w:rPr>
          <w:b/>
          <w:sz w:val="20"/>
          <w:szCs w:val="20"/>
        </w:rPr>
        <w:t>5</w:t>
      </w:r>
      <w:r w:rsidR="009E65A1" w:rsidRPr="007A7720">
        <w:rPr>
          <w:b/>
          <w:sz w:val="20"/>
          <w:szCs w:val="20"/>
        </w:rPr>
        <w:t xml:space="preserve">. Juli </w:t>
      </w:r>
      <w:r w:rsidRPr="007A7720">
        <w:rPr>
          <w:b/>
          <w:sz w:val="20"/>
          <w:szCs w:val="20"/>
        </w:rPr>
        <w:t>20</w:t>
      </w:r>
      <w:r w:rsidR="00787F1A">
        <w:rPr>
          <w:b/>
          <w:sz w:val="20"/>
          <w:szCs w:val="20"/>
        </w:rPr>
        <w:t>20</w:t>
      </w:r>
      <w:r w:rsidR="009E65A1" w:rsidRPr="007A7720">
        <w:rPr>
          <w:b/>
          <w:sz w:val="20"/>
          <w:szCs w:val="20"/>
        </w:rPr>
        <w:t xml:space="preserve"> </w:t>
      </w:r>
      <w:r w:rsidR="00067668" w:rsidRPr="007A7720">
        <w:rPr>
          <w:sz w:val="20"/>
          <w:szCs w:val="20"/>
        </w:rPr>
        <w:t xml:space="preserve">an folgende E-Mail-Adresse: </w:t>
      </w:r>
      <w:hyperlink r:id="rId8" w:history="1">
        <w:r w:rsidR="00067668" w:rsidRPr="007A7720">
          <w:rPr>
            <w:rStyle w:val="Hyperlink"/>
            <w:b/>
            <w:color w:val="auto"/>
            <w:sz w:val="20"/>
            <w:szCs w:val="20"/>
          </w:rPr>
          <w:t>fd@sz.ch</w:t>
        </w:r>
      </w:hyperlink>
      <w:r w:rsidR="00067668" w:rsidRPr="007A7720">
        <w:rPr>
          <w:sz w:val="20"/>
          <w:szCs w:val="20"/>
        </w:rPr>
        <w:t xml:space="preserve">. </w:t>
      </w:r>
      <w:r w:rsidR="007A7720" w:rsidRPr="007A7720">
        <w:rPr>
          <w:sz w:val="20"/>
          <w:szCs w:val="20"/>
        </w:rPr>
        <w:t>Wir weisen Sie darauf hin, dass wir Ihre Vernehmlassung nur berücksichtigen können, wenn sie auf de</w:t>
      </w:r>
      <w:r w:rsidR="00D80B5A">
        <w:rPr>
          <w:sz w:val="20"/>
          <w:szCs w:val="20"/>
        </w:rPr>
        <w:t>n</w:t>
      </w:r>
      <w:r w:rsidR="007A7720" w:rsidRPr="007A7720">
        <w:rPr>
          <w:sz w:val="20"/>
          <w:szCs w:val="20"/>
        </w:rPr>
        <w:t xml:space="preserve"> folgenden Zeile</w:t>
      </w:r>
      <w:r w:rsidR="00D80B5A">
        <w:rPr>
          <w:sz w:val="20"/>
          <w:szCs w:val="20"/>
        </w:rPr>
        <w:t>n</w:t>
      </w:r>
      <w:r w:rsidR="007A7720" w:rsidRPr="007A7720">
        <w:rPr>
          <w:sz w:val="20"/>
          <w:szCs w:val="20"/>
        </w:rPr>
        <w:t xml:space="preserve"> vom Vernehmlassungsteilnehmer bzw. von der Vernehmlassungsteilnehmerin </w:t>
      </w:r>
      <w:r w:rsidR="007A7720" w:rsidRPr="007A7720">
        <w:rPr>
          <w:b/>
          <w:sz w:val="20"/>
          <w:szCs w:val="20"/>
        </w:rPr>
        <w:t>datiert und unterzeichnet</w:t>
      </w:r>
      <w:r w:rsidR="007A7720" w:rsidRPr="007A7720">
        <w:rPr>
          <w:sz w:val="20"/>
          <w:szCs w:val="20"/>
        </w:rPr>
        <w:t xml:space="preserve"> wird.</w:t>
      </w:r>
    </w:p>
    <w:p w:rsidR="00D80B5A" w:rsidRDefault="00D80B5A" w:rsidP="00D80B5A">
      <w:pPr>
        <w:spacing w:line="240" w:lineRule="auto"/>
        <w:outlineLvl w:val="0"/>
        <w:rPr>
          <w:sz w:val="20"/>
          <w:szCs w:val="20"/>
        </w:rPr>
      </w:pP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sz w:val="20"/>
          <w:szCs w:val="20"/>
        </w:rPr>
      </w:pPr>
      <w:r>
        <w:rPr>
          <w:sz w:val="20"/>
          <w:szCs w:val="20"/>
        </w:rPr>
        <w:t>Nachfolgende Vernehmlassung wurde verfasst durch:</w:t>
      </w: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sz w:val="20"/>
          <w:szCs w:val="20"/>
        </w:rPr>
      </w:pP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b/>
          <w:sz w:val="20"/>
          <w:szCs w:val="20"/>
        </w:rPr>
      </w:pP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sz w:val="20"/>
          <w:szCs w:val="20"/>
        </w:rPr>
      </w:pPr>
      <w:r>
        <w:rPr>
          <w:b/>
          <w:sz w:val="20"/>
          <w:szCs w:val="20"/>
        </w:rPr>
        <w:t>Gemeinwesen / Organisation:</w:t>
      </w:r>
      <w:r>
        <w:rPr>
          <w:sz w:val="20"/>
          <w:szCs w:val="20"/>
        </w:rPr>
        <w:t xml:space="preserve"> ……………………………………………………………….</w:t>
      </w:r>
      <w:r>
        <w:rPr>
          <w:sz w:val="20"/>
          <w:szCs w:val="20"/>
        </w:rPr>
        <w:tab/>
      </w:r>
      <w:r>
        <w:rPr>
          <w:sz w:val="20"/>
          <w:szCs w:val="20"/>
        </w:rPr>
        <w:tab/>
      </w:r>
      <w:r>
        <w:rPr>
          <w:b/>
          <w:sz w:val="20"/>
          <w:szCs w:val="20"/>
        </w:rPr>
        <w:t>Unterschrift:</w:t>
      </w:r>
      <w:r>
        <w:rPr>
          <w:sz w:val="20"/>
          <w:szCs w:val="20"/>
        </w:rPr>
        <w:t xml:space="preserve"> ……………………………..………………………………………</w:t>
      </w: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sz w:val="20"/>
          <w:szCs w:val="20"/>
        </w:rPr>
      </w:pPr>
    </w:p>
    <w:p w:rsidR="00D80B5A" w:rsidRDefault="00D80B5A" w:rsidP="00D80B5A">
      <w:pPr>
        <w:pBdr>
          <w:top w:val="single" w:sz="4" w:space="1" w:color="auto"/>
          <w:left w:val="single" w:sz="4" w:space="4" w:color="auto"/>
          <w:bottom w:val="single" w:sz="4" w:space="1" w:color="auto"/>
          <w:right w:val="single" w:sz="4" w:space="4" w:color="auto"/>
        </w:pBdr>
        <w:tabs>
          <w:tab w:val="left" w:pos="6663"/>
          <w:tab w:val="left" w:pos="7371"/>
        </w:tabs>
        <w:spacing w:line="240" w:lineRule="auto"/>
        <w:outlineLvl w:val="0"/>
        <w:rPr>
          <w:sz w:val="20"/>
          <w:szCs w:val="20"/>
        </w:rPr>
      </w:pPr>
      <w:r>
        <w:rPr>
          <w:sz w:val="20"/>
          <w:szCs w:val="20"/>
        </w:rPr>
        <w:t>Datum: …………………………………………..</w:t>
      </w:r>
    </w:p>
    <w:p w:rsidR="003433FC" w:rsidRDefault="003433FC" w:rsidP="00D80B5A">
      <w:pPr>
        <w:spacing w:line="240" w:lineRule="auto"/>
        <w:outlineLvl w:val="0"/>
        <w:rPr>
          <w:sz w:val="20"/>
          <w:szCs w:val="20"/>
        </w:rPr>
      </w:pPr>
    </w:p>
    <w:p w:rsidR="00867DC6" w:rsidRPr="007A7720" w:rsidRDefault="003433FC" w:rsidP="00B87094">
      <w:pPr>
        <w:spacing w:line="240" w:lineRule="auto"/>
        <w:outlineLvl w:val="0"/>
        <w:rPr>
          <w:sz w:val="20"/>
          <w:szCs w:val="20"/>
        </w:rPr>
      </w:pPr>
      <w:r>
        <w:rPr>
          <w:sz w:val="20"/>
          <w:szCs w:val="20"/>
        </w:rPr>
        <w:t xml:space="preserve">Schwyz, </w:t>
      </w:r>
      <w:r w:rsidR="003E4FCD" w:rsidRPr="003E4FCD">
        <w:rPr>
          <w:sz w:val="20"/>
          <w:szCs w:val="20"/>
          <w:highlight w:val="yellow"/>
        </w:rPr>
        <w:t>15</w:t>
      </w:r>
      <w:r w:rsidRPr="003E4FCD">
        <w:rPr>
          <w:sz w:val="20"/>
          <w:szCs w:val="20"/>
          <w:highlight w:val="yellow"/>
        </w:rPr>
        <w:t>. Mai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F244A" w:rsidRPr="009F44A4">
        <w:t>Finanzdepartement</w:t>
      </w:r>
      <w:r>
        <w:t xml:space="preserve"> des Kantons Schwyz</w:t>
      </w:r>
    </w:p>
    <w:p w:rsidR="005526D1" w:rsidRPr="00EE1A3C" w:rsidRDefault="002D4C83" w:rsidP="00B87094">
      <w:pPr>
        <w:spacing w:line="240" w:lineRule="auto"/>
        <w:outlineLvl w:val="0"/>
        <w:rPr>
          <w:sz w:val="32"/>
          <w:szCs w:val="32"/>
        </w:rPr>
      </w:pPr>
      <w:r>
        <w:br w:type="page"/>
      </w:r>
      <w:r w:rsidR="005526D1" w:rsidRPr="00EE1A3C">
        <w:rPr>
          <w:b/>
          <w:sz w:val="32"/>
          <w:szCs w:val="32"/>
        </w:rPr>
        <w:lastRenderedPageBreak/>
        <w:t xml:space="preserve">A. Allgemeine </w:t>
      </w:r>
      <w:r w:rsidR="000B36CB" w:rsidRPr="00EE1A3C">
        <w:rPr>
          <w:b/>
          <w:sz w:val="32"/>
          <w:szCs w:val="32"/>
        </w:rPr>
        <w:t>Vernehmlassungsfragen</w:t>
      </w:r>
    </w:p>
    <w:p w:rsidR="005526D1" w:rsidRPr="005A3DC8" w:rsidRDefault="005526D1" w:rsidP="00B87094">
      <w:pPr>
        <w:spacing w:line="240" w:lineRule="auto"/>
        <w:outlineLvl w:val="0"/>
        <w:rPr>
          <w:sz w:val="28"/>
          <w:szCs w:val="28"/>
        </w:rPr>
      </w:pPr>
    </w:p>
    <w:p w:rsidR="00544DCC" w:rsidRPr="005A3DC8" w:rsidRDefault="00544DCC" w:rsidP="00B87094">
      <w:pPr>
        <w:spacing w:line="240" w:lineRule="auto"/>
        <w:outlineLvl w:val="0"/>
      </w:pPr>
      <w:r w:rsidRPr="005A3DC8">
        <w:t xml:space="preserve">1. Welche </w:t>
      </w:r>
      <w:r w:rsidR="00F971F0" w:rsidRPr="005A3DC8">
        <w:t xml:space="preserve">der folgenden </w:t>
      </w:r>
      <w:r w:rsidRPr="005A3DC8">
        <w:t>V</w:t>
      </w:r>
      <w:r w:rsidR="003433FC">
        <w:t xml:space="preserve">orlagen </w:t>
      </w:r>
      <w:r w:rsidRPr="005A3DC8">
        <w:t>bevorzugen Sie?</w:t>
      </w:r>
    </w:p>
    <w:p w:rsidR="00766A73" w:rsidRPr="005A3DC8" w:rsidRDefault="00766A73" w:rsidP="00B87094">
      <w:pPr>
        <w:spacing w:line="240" w:lineRule="auto"/>
        <w:outlineLvl w:val="0"/>
      </w:pPr>
    </w:p>
    <w:p w:rsidR="00766A73" w:rsidRDefault="00837F03" w:rsidP="003E4FCD">
      <w:pPr>
        <w:spacing w:line="240" w:lineRule="auto"/>
        <w:ind w:left="1418" w:hanging="1418"/>
        <w:outlineLvl w:val="0"/>
      </w:pPr>
      <w:r w:rsidRPr="005A3DC8">
        <w:sym w:font="Wingdings" w:char="F06F"/>
      </w:r>
      <w:r w:rsidR="005A3DC8" w:rsidRPr="005A3DC8">
        <w:t xml:space="preserve"> </w:t>
      </w:r>
      <w:r w:rsidR="003433FC">
        <w:t xml:space="preserve">Vorlage 1 </w:t>
      </w:r>
      <w:r w:rsidR="00227477">
        <w:tab/>
      </w:r>
      <w:r w:rsidR="003433FC">
        <w:t xml:space="preserve">(Kantonsrat soll rückwirkend </w:t>
      </w:r>
      <w:r w:rsidR="00227477">
        <w:t xml:space="preserve">auf den 1. Januar 2018 </w:t>
      </w:r>
      <w:r w:rsidR="003433FC">
        <w:t xml:space="preserve">zuständig erklärt werden, generelle Neuschätzungen im Landwirtschaftsbereich anordnen zu können) </w:t>
      </w:r>
    </w:p>
    <w:p w:rsidR="003433FC" w:rsidRPr="005A3DC8" w:rsidRDefault="003433FC" w:rsidP="00B87094">
      <w:pPr>
        <w:spacing w:line="240" w:lineRule="auto"/>
        <w:outlineLvl w:val="0"/>
      </w:pPr>
    </w:p>
    <w:p w:rsidR="00766A73" w:rsidRPr="002C4E2C" w:rsidRDefault="00837F03" w:rsidP="003E4FCD">
      <w:pPr>
        <w:spacing w:line="240" w:lineRule="auto"/>
        <w:ind w:left="1418" w:hanging="1418"/>
        <w:outlineLvl w:val="0"/>
      </w:pPr>
      <w:r w:rsidRPr="002C4E2C">
        <w:sym w:font="Wingdings" w:char="F06F"/>
      </w:r>
      <w:r w:rsidR="005A3DC8" w:rsidRPr="002C4E2C">
        <w:t xml:space="preserve"> </w:t>
      </w:r>
      <w:r w:rsidR="003433FC">
        <w:t xml:space="preserve">Vorlage 2 </w:t>
      </w:r>
      <w:r w:rsidR="00227477">
        <w:tab/>
      </w:r>
      <w:r w:rsidR="003433FC">
        <w:t>(</w:t>
      </w:r>
      <w:r w:rsidR="00227477">
        <w:t>Generelle Neuschätzungen sollen weiterhin bei Erfüllen der gesetzlichen Voraussetzungen erfolgen, die Neuschätzungswerte sollen jedoch erstmals in der dritten der Inkraftsetzung der Schätzungsanleitung folgenden Steuerperiode zur Anwendung kommen)</w:t>
      </w:r>
    </w:p>
    <w:p w:rsidR="00F971F0" w:rsidRPr="002C4E2C" w:rsidRDefault="00F971F0" w:rsidP="00B87094">
      <w:pPr>
        <w:spacing w:line="240" w:lineRule="auto"/>
        <w:outlineLvl w:val="0"/>
      </w:pPr>
    </w:p>
    <w:p w:rsidR="00837F03" w:rsidRPr="002C4E2C" w:rsidRDefault="00837F03" w:rsidP="00B87094">
      <w:pPr>
        <w:spacing w:line="240" w:lineRule="auto"/>
        <w:outlineLvl w:val="0"/>
      </w:pPr>
    </w:p>
    <w:p w:rsidR="00837F03" w:rsidRPr="002C4E2C" w:rsidRDefault="00837F03" w:rsidP="00B87094">
      <w:pPr>
        <w:spacing w:line="240" w:lineRule="auto"/>
        <w:outlineLvl w:val="0"/>
      </w:pPr>
    </w:p>
    <w:p w:rsidR="00766A73" w:rsidRPr="002C4E2C" w:rsidRDefault="00766A73" w:rsidP="00B87094">
      <w:pPr>
        <w:spacing w:line="240" w:lineRule="auto"/>
        <w:outlineLvl w:val="0"/>
      </w:pPr>
      <w:r w:rsidRPr="002C4E2C">
        <w:t>2. Welche Vo</w:t>
      </w:r>
      <w:r w:rsidR="00AA2C09" w:rsidRPr="002C4E2C">
        <w:t xml:space="preserve">rteile verbinden Sie mit der bevorzugten </w:t>
      </w:r>
      <w:r w:rsidRPr="002C4E2C">
        <w:t>V</w:t>
      </w:r>
      <w:r w:rsidR="003433FC">
        <w:t>orlage</w:t>
      </w:r>
      <w:r w:rsidRPr="002C4E2C">
        <w:t>?</w:t>
      </w: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F971F0" w:rsidRPr="002C4E2C" w:rsidRDefault="00F971F0"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r w:rsidRPr="002C4E2C">
        <w:t>3. Welche Nachteile v</w:t>
      </w:r>
      <w:r w:rsidR="006F244A" w:rsidRPr="002C4E2C">
        <w:t>erbinden Sie mit der anderen</w:t>
      </w:r>
      <w:r w:rsidRPr="002C4E2C">
        <w:t xml:space="preserve"> V</w:t>
      </w:r>
      <w:r w:rsidR="003433FC">
        <w:t>orlage</w:t>
      </w:r>
      <w:r w:rsidRPr="002C4E2C">
        <w:t>?</w:t>
      </w: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F971F0" w:rsidRPr="002C4E2C" w:rsidRDefault="00F971F0"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766A73" w:rsidRPr="002C4E2C" w:rsidRDefault="00766A73" w:rsidP="00B87094">
      <w:pPr>
        <w:spacing w:line="240" w:lineRule="auto"/>
        <w:outlineLvl w:val="0"/>
      </w:pPr>
    </w:p>
    <w:p w:rsidR="005526D1" w:rsidRDefault="00766A73" w:rsidP="00B87094">
      <w:pPr>
        <w:spacing w:line="240" w:lineRule="auto"/>
        <w:outlineLvl w:val="0"/>
      </w:pPr>
      <w:r w:rsidRPr="002C4E2C">
        <w:t>4. Sonstige Bemerkungen</w:t>
      </w:r>
    </w:p>
    <w:p w:rsidR="005526D1" w:rsidRPr="005526D1" w:rsidRDefault="005526D1" w:rsidP="00B87094">
      <w:pPr>
        <w:spacing w:line="240" w:lineRule="auto"/>
        <w:outlineLvl w:val="0"/>
      </w:pPr>
      <w:r>
        <w:br w:type="page"/>
      </w:r>
      <w:r w:rsidRPr="00743274">
        <w:rPr>
          <w:b/>
          <w:sz w:val="32"/>
          <w:szCs w:val="32"/>
        </w:rPr>
        <w:t xml:space="preserve">B. </w:t>
      </w:r>
      <w:r w:rsidR="000B36CB" w:rsidRPr="00B743D5">
        <w:rPr>
          <w:b/>
          <w:sz w:val="32"/>
          <w:szCs w:val="32"/>
        </w:rPr>
        <w:t>Vernehmlassung zu den einzelnen Bestimmungen</w:t>
      </w:r>
    </w:p>
    <w:p w:rsidR="005526D1" w:rsidRPr="00B743D5" w:rsidRDefault="005526D1" w:rsidP="00B87094">
      <w:pPr>
        <w:spacing w:line="240" w:lineRule="auto"/>
        <w:outlineLvl w:val="0"/>
        <w:rPr>
          <w:sz w:val="28"/>
          <w:szCs w:val="28"/>
        </w:rPr>
      </w:pPr>
    </w:p>
    <w:p w:rsidR="00CD1278" w:rsidRDefault="00CD1278" w:rsidP="00B87094">
      <w:pPr>
        <w:spacing w:line="240" w:lineRule="auto"/>
        <w:outlineLvl w:val="0"/>
        <w:rPr>
          <w:b/>
          <w:sz w:val="28"/>
          <w:szCs w:val="28"/>
        </w:rPr>
      </w:pPr>
      <w:r>
        <w:rPr>
          <w:b/>
          <w:sz w:val="28"/>
          <w:szCs w:val="28"/>
        </w:rPr>
        <w:t xml:space="preserve">I. </w:t>
      </w:r>
      <w:r w:rsidRPr="00B743D5">
        <w:rPr>
          <w:b/>
          <w:sz w:val="28"/>
          <w:szCs w:val="28"/>
        </w:rPr>
        <w:t>Vernehmlassungs</w:t>
      </w:r>
      <w:r w:rsidR="00227477">
        <w:rPr>
          <w:b/>
          <w:sz w:val="28"/>
          <w:szCs w:val="28"/>
        </w:rPr>
        <w:t>vorlage 1 (gemäss Motion M</w:t>
      </w:r>
      <w:r w:rsidR="00232BF7">
        <w:rPr>
          <w:b/>
          <w:sz w:val="28"/>
          <w:szCs w:val="28"/>
        </w:rPr>
        <w:t> </w:t>
      </w:r>
      <w:r w:rsidR="00227477">
        <w:rPr>
          <w:b/>
          <w:sz w:val="28"/>
          <w:szCs w:val="28"/>
        </w:rPr>
        <w:t>14/19)</w:t>
      </w:r>
    </w:p>
    <w:p w:rsidR="00CD1278" w:rsidRPr="00D010AA" w:rsidRDefault="00CD1278" w:rsidP="00B87094">
      <w:pPr>
        <w:spacing w:line="240" w:lineRule="auto"/>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757"/>
        <w:gridCol w:w="4752"/>
      </w:tblGrid>
      <w:tr w:rsidR="00BA4A5C" w:rsidRPr="00222D2F" w:rsidTr="003E4FCD">
        <w:tc>
          <w:tcPr>
            <w:tcW w:w="4661" w:type="dxa"/>
            <w:shd w:val="clear" w:color="auto" w:fill="auto"/>
          </w:tcPr>
          <w:p w:rsidR="00BA4A5C" w:rsidRPr="00222D2F" w:rsidRDefault="00C76ED5" w:rsidP="00DA2C67">
            <w:pPr>
              <w:spacing w:before="60" w:line="240" w:lineRule="auto"/>
              <w:outlineLvl w:val="0"/>
              <w:rPr>
                <w:b/>
              </w:rPr>
            </w:pPr>
            <w:r>
              <w:rPr>
                <w:b/>
              </w:rPr>
              <w:t>Bisherige Fassung</w:t>
            </w:r>
          </w:p>
        </w:tc>
        <w:tc>
          <w:tcPr>
            <w:tcW w:w="4757" w:type="dxa"/>
            <w:shd w:val="clear" w:color="auto" w:fill="auto"/>
          </w:tcPr>
          <w:p w:rsidR="008A48B2" w:rsidRPr="00222D2F" w:rsidRDefault="00CD1278" w:rsidP="00DA2C67">
            <w:pPr>
              <w:spacing w:before="60" w:after="60" w:line="240" w:lineRule="auto"/>
              <w:outlineLvl w:val="0"/>
              <w:rPr>
                <w:b/>
              </w:rPr>
            </w:pPr>
            <w:r>
              <w:rPr>
                <w:b/>
              </w:rPr>
              <w:t>Revisionsvorlage</w:t>
            </w:r>
          </w:p>
        </w:tc>
        <w:tc>
          <w:tcPr>
            <w:tcW w:w="4752" w:type="dxa"/>
            <w:shd w:val="clear" w:color="auto" w:fill="auto"/>
          </w:tcPr>
          <w:p w:rsidR="00BA4A5C" w:rsidRPr="00222D2F" w:rsidRDefault="00BA4A5C" w:rsidP="00DA2C67">
            <w:pPr>
              <w:spacing w:before="60" w:after="60" w:line="240" w:lineRule="auto"/>
              <w:outlineLvl w:val="0"/>
              <w:rPr>
                <w:b/>
              </w:rPr>
            </w:pPr>
            <w:r w:rsidRPr="00222D2F">
              <w:rPr>
                <w:b/>
              </w:rPr>
              <w:t>Bemerkungen</w:t>
            </w:r>
          </w:p>
        </w:tc>
      </w:tr>
      <w:tr w:rsidR="008A48B2" w:rsidRPr="00222D2F" w:rsidTr="003E4FCD">
        <w:tc>
          <w:tcPr>
            <w:tcW w:w="14170" w:type="dxa"/>
            <w:gridSpan w:val="3"/>
            <w:shd w:val="clear" w:color="auto" w:fill="FFFFFF"/>
          </w:tcPr>
          <w:p w:rsidR="008A48B2" w:rsidRPr="009B5562" w:rsidRDefault="00D76055">
            <w:pPr>
              <w:spacing w:before="60" w:after="60" w:line="240" w:lineRule="auto"/>
              <w:outlineLvl w:val="0"/>
              <w:rPr>
                <w:sz w:val="20"/>
                <w:szCs w:val="20"/>
              </w:rPr>
            </w:pPr>
            <w:r>
              <w:rPr>
                <w:sz w:val="20"/>
                <w:szCs w:val="20"/>
              </w:rPr>
              <w:t>II. Grundlagen</w:t>
            </w:r>
          </w:p>
        </w:tc>
      </w:tr>
      <w:tr w:rsidR="00BA69AC" w:rsidRPr="00BA69AC" w:rsidTr="003E4FCD">
        <w:tc>
          <w:tcPr>
            <w:tcW w:w="4661" w:type="dxa"/>
            <w:shd w:val="clear" w:color="auto" w:fill="auto"/>
          </w:tcPr>
          <w:p w:rsidR="00D76055" w:rsidRDefault="005D0135" w:rsidP="003E4FCD">
            <w:pPr>
              <w:pStyle w:val="ParagraphRandtitel"/>
              <w:jc w:val="both"/>
              <w:rPr>
                <w:b w:val="0"/>
              </w:rPr>
            </w:pPr>
            <w:r w:rsidRPr="005D0135">
              <w:t>§ </w:t>
            </w:r>
            <w:r w:rsidR="00D76055">
              <w:t>6</w:t>
            </w:r>
            <w:r w:rsidR="00E0375C">
              <w:tab/>
            </w:r>
            <w:r w:rsidR="00D76055">
              <w:rPr>
                <w:b w:val="0"/>
              </w:rPr>
              <w:t xml:space="preserve">2. Generelle Neuschätzung </w:t>
            </w:r>
          </w:p>
          <w:p w:rsidR="00BA4A5C" w:rsidRPr="00BA69AC" w:rsidRDefault="00BA4A5C" w:rsidP="003E4FCD">
            <w:pPr>
              <w:pStyle w:val="ParagraphRandtitel"/>
              <w:spacing w:before="0"/>
              <w:jc w:val="both"/>
              <w:rPr>
                <w:b w:val="0"/>
              </w:rPr>
            </w:pPr>
          </w:p>
          <w:p w:rsidR="00D76055" w:rsidRDefault="006C7B94" w:rsidP="003E4FCD">
            <w:pPr>
              <w:autoSpaceDE w:val="0"/>
              <w:autoSpaceDN w:val="0"/>
              <w:adjustRightInd w:val="0"/>
              <w:spacing w:line="240" w:lineRule="auto"/>
              <w:jc w:val="both"/>
              <w:rPr>
                <w:rFonts w:cs="TradeGothic"/>
                <w:spacing w:val="0"/>
                <w:sz w:val="17"/>
                <w:szCs w:val="17"/>
                <w:lang w:eastAsia="de-CH"/>
              </w:rPr>
            </w:pPr>
            <w:r>
              <w:rPr>
                <w:rStyle w:val="Absatznummer"/>
              </w:rPr>
              <w:t>1</w:t>
            </w:r>
            <w:r w:rsidR="00D76055">
              <w:rPr>
                <w:rFonts w:cs="TradeGothic"/>
                <w:spacing w:val="0"/>
                <w:sz w:val="10"/>
                <w:szCs w:val="10"/>
                <w:lang w:eastAsia="de-CH"/>
              </w:rPr>
              <w:t xml:space="preserve">  </w:t>
            </w:r>
            <w:r w:rsidR="00D76055">
              <w:rPr>
                <w:rFonts w:cs="TradeGothic"/>
                <w:spacing w:val="0"/>
                <w:sz w:val="17"/>
                <w:szCs w:val="17"/>
                <w:lang w:eastAsia="de-CH"/>
              </w:rPr>
              <w:t>Generelle Neuschätzungen werden mit jeder neuen Anleitung für die Schätzung des landwirtschaftlichen Ertragswertes, Anhang I zur Verordnung über das bäuerliche Bodenrecht (VBB)</w:t>
            </w:r>
            <w:r w:rsidR="004D32A9" w:rsidRPr="003E4FCD">
              <w:rPr>
                <w:rStyle w:val="Absatznummer"/>
              </w:rPr>
              <w:t>3</w:t>
            </w:r>
            <w:r w:rsidR="00D76055" w:rsidRPr="003E4FCD">
              <w:rPr>
                <w:rStyle w:val="Absatznummer"/>
              </w:rPr>
              <w:t xml:space="preserve"> </w:t>
            </w:r>
            <w:r w:rsidR="00D76055">
              <w:rPr>
                <w:rFonts w:cs="TradeGothic"/>
                <w:spacing w:val="0"/>
                <w:sz w:val="17"/>
                <w:szCs w:val="17"/>
                <w:lang w:eastAsia="de-CH"/>
              </w:rPr>
              <w:t>vom 4. Oktober 1993 (eidg. Schätzungsanleitung), ausgelöst und im Jahr der Inkraftsetzung vorgenommen, sofern sich mit der neuen Schätzungsanleitung die Schätzungswerte um mindestens 20% verändern. Die erste generelle Neuschätzung gestützt auf diese Verordnung erfolgt per 1. Januar 2004.</w:t>
            </w:r>
          </w:p>
          <w:p w:rsidR="00D76055" w:rsidRDefault="00D76055" w:rsidP="003E4FCD">
            <w:pPr>
              <w:autoSpaceDE w:val="0"/>
              <w:autoSpaceDN w:val="0"/>
              <w:adjustRightInd w:val="0"/>
              <w:spacing w:line="240" w:lineRule="auto"/>
              <w:jc w:val="both"/>
              <w:rPr>
                <w:rFonts w:cs="TradeGothic"/>
                <w:spacing w:val="0"/>
                <w:sz w:val="17"/>
                <w:szCs w:val="17"/>
                <w:lang w:eastAsia="de-CH"/>
              </w:rPr>
            </w:pPr>
            <w:r w:rsidRPr="003E4FCD">
              <w:rPr>
                <w:rStyle w:val="Absatznummer"/>
              </w:rPr>
              <w:t xml:space="preserve">2 </w:t>
            </w:r>
            <w:r>
              <w:rPr>
                <w:rFonts w:cs="TradeGothic"/>
                <w:spacing w:val="0"/>
                <w:sz w:val="17"/>
                <w:szCs w:val="17"/>
                <w:lang w:eastAsia="de-CH"/>
              </w:rPr>
              <w:t>Massgebend für die Neuschätzung sind die Verhältnisse am 31.</w:t>
            </w:r>
            <w:r w:rsidR="00232BF7">
              <w:rPr>
                <w:rFonts w:cs="TradeGothic"/>
                <w:spacing w:val="0"/>
                <w:sz w:val="17"/>
                <w:szCs w:val="17"/>
                <w:lang w:eastAsia="de-CH"/>
              </w:rPr>
              <w:t> </w:t>
            </w:r>
            <w:r>
              <w:rPr>
                <w:rFonts w:cs="TradeGothic"/>
                <w:spacing w:val="0"/>
                <w:sz w:val="17"/>
                <w:szCs w:val="17"/>
                <w:lang w:eastAsia="de-CH"/>
              </w:rPr>
              <w:t>Dezember des Jahres vor der Schätzung.</w:t>
            </w:r>
          </w:p>
          <w:p w:rsidR="00D76055" w:rsidRDefault="00D76055" w:rsidP="003E4FCD">
            <w:pPr>
              <w:autoSpaceDE w:val="0"/>
              <w:autoSpaceDN w:val="0"/>
              <w:adjustRightInd w:val="0"/>
              <w:spacing w:line="240" w:lineRule="auto"/>
              <w:jc w:val="both"/>
              <w:rPr>
                <w:rFonts w:cs="TradeGothic"/>
                <w:spacing w:val="0"/>
                <w:sz w:val="17"/>
                <w:szCs w:val="17"/>
                <w:lang w:eastAsia="de-CH"/>
              </w:rPr>
            </w:pPr>
            <w:r w:rsidRPr="003E4FCD">
              <w:rPr>
                <w:rStyle w:val="Absatznummer"/>
              </w:rPr>
              <w:t xml:space="preserve">3 </w:t>
            </w:r>
            <w:r>
              <w:rPr>
                <w:rFonts w:cs="TradeGothic"/>
                <w:spacing w:val="0"/>
                <w:sz w:val="17"/>
                <w:szCs w:val="17"/>
                <w:lang w:eastAsia="de-CH"/>
              </w:rPr>
              <w:t>Neuschätzungen finden erstmals auf die Steuerperiode des Schätzungsjahres Anwendung. Sie behalten bis zur nächsten generellen Neuschätzung Gültigkeit, sofern in der Zwischenzeit nicht eine individuelle Schätzung gemäss § 7 f. erfolgt.</w:t>
            </w:r>
          </w:p>
          <w:p w:rsidR="00C975B8" w:rsidRDefault="00D76055" w:rsidP="00023206">
            <w:pPr>
              <w:autoSpaceDE w:val="0"/>
              <w:autoSpaceDN w:val="0"/>
              <w:adjustRightInd w:val="0"/>
              <w:spacing w:line="240" w:lineRule="auto"/>
              <w:jc w:val="both"/>
              <w:rPr>
                <w:rFonts w:cs="TradeGothic"/>
                <w:spacing w:val="0"/>
                <w:sz w:val="17"/>
                <w:szCs w:val="17"/>
                <w:lang w:eastAsia="de-CH"/>
              </w:rPr>
            </w:pPr>
            <w:r w:rsidRPr="003E4FCD">
              <w:rPr>
                <w:rStyle w:val="Absatznummer"/>
              </w:rPr>
              <w:t xml:space="preserve">4 </w:t>
            </w:r>
            <w:r>
              <w:rPr>
                <w:rFonts w:cs="TradeGothic"/>
                <w:spacing w:val="0"/>
                <w:sz w:val="17"/>
                <w:szCs w:val="17"/>
                <w:lang w:eastAsia="de-CH"/>
              </w:rPr>
              <w:t>Auf die Bewertung eines Grundstückes oder Gewerbes im Rahmen der generellen Neuschätzung wird verzichtet, wenn im gleichen Jahr eine individuelle Schätzung dieses Grundstückes oder Gewerbes erfolgt.</w:t>
            </w:r>
          </w:p>
          <w:p w:rsidR="00023206" w:rsidRPr="00BA69AC" w:rsidRDefault="00023206" w:rsidP="00023206">
            <w:pPr>
              <w:autoSpaceDE w:val="0"/>
              <w:autoSpaceDN w:val="0"/>
              <w:adjustRightInd w:val="0"/>
              <w:spacing w:before="170" w:line="240" w:lineRule="auto"/>
              <w:jc w:val="both"/>
              <w:rPr>
                <w:szCs w:val="17"/>
              </w:rPr>
            </w:pPr>
          </w:p>
        </w:tc>
        <w:tc>
          <w:tcPr>
            <w:tcW w:w="4757" w:type="dxa"/>
            <w:shd w:val="clear" w:color="auto" w:fill="auto"/>
          </w:tcPr>
          <w:p w:rsidR="00BD34D7" w:rsidRDefault="00C77DB6">
            <w:pPr>
              <w:spacing w:before="280" w:line="240" w:lineRule="auto"/>
              <w:outlineLvl w:val="0"/>
              <w:rPr>
                <w:sz w:val="17"/>
                <w:szCs w:val="17"/>
              </w:rPr>
            </w:pPr>
            <w:r w:rsidRPr="005D0135">
              <w:rPr>
                <w:b/>
                <w:sz w:val="17"/>
                <w:szCs w:val="17"/>
              </w:rPr>
              <w:t>§</w:t>
            </w:r>
            <w:r w:rsidR="005D0135" w:rsidRPr="005D0135">
              <w:rPr>
                <w:b/>
                <w:sz w:val="17"/>
                <w:szCs w:val="17"/>
              </w:rPr>
              <w:t> </w:t>
            </w:r>
            <w:r w:rsidR="00E0375C">
              <w:rPr>
                <w:b/>
                <w:sz w:val="17"/>
                <w:szCs w:val="17"/>
              </w:rPr>
              <w:t xml:space="preserve">6 </w:t>
            </w:r>
            <w:r w:rsidR="00E0375C" w:rsidRPr="003E4FCD">
              <w:rPr>
                <w:sz w:val="17"/>
                <w:szCs w:val="17"/>
              </w:rPr>
              <w:t>Abs. 1 bis 4</w:t>
            </w:r>
            <w:r w:rsidR="00E0375C">
              <w:rPr>
                <w:sz w:val="17"/>
                <w:szCs w:val="17"/>
              </w:rPr>
              <w:t xml:space="preserve"> </w:t>
            </w:r>
          </w:p>
          <w:p w:rsidR="00E0375C" w:rsidRPr="00E0375C" w:rsidRDefault="00E0375C">
            <w:pPr>
              <w:spacing w:line="240" w:lineRule="auto"/>
              <w:jc w:val="both"/>
              <w:rPr>
                <w:spacing w:val="0"/>
                <w:sz w:val="17"/>
                <w:szCs w:val="20"/>
                <w:lang w:eastAsia="de-CH"/>
              </w:rPr>
            </w:pPr>
          </w:p>
          <w:p w:rsidR="00E0375C" w:rsidRPr="00E0375C" w:rsidRDefault="00E0375C" w:rsidP="00E0375C">
            <w:pPr>
              <w:spacing w:line="240" w:lineRule="auto"/>
              <w:jc w:val="both"/>
              <w:rPr>
                <w:spacing w:val="0"/>
                <w:sz w:val="17"/>
                <w:szCs w:val="20"/>
                <w:lang w:eastAsia="de-CH"/>
              </w:rPr>
            </w:pPr>
            <w:r w:rsidRPr="00E0375C">
              <w:rPr>
                <w:spacing w:val="0"/>
                <w:sz w:val="17"/>
                <w:szCs w:val="20"/>
                <w:vertAlign w:val="superscript"/>
                <w:lang w:eastAsia="de-CH"/>
              </w:rPr>
              <w:t>1</w:t>
            </w:r>
            <w:r w:rsidRPr="00E0375C">
              <w:rPr>
                <w:spacing w:val="0"/>
                <w:sz w:val="17"/>
                <w:szCs w:val="20"/>
                <w:lang w:eastAsia="de-CH"/>
              </w:rPr>
              <w:t> Für eine vom Kantonsrat beschlossene generelle Neuschätzung (§§ 22 Abs. 3 StG bzw. 42 Abs. 3 StG) sind die Verhältnisse am 31. Dezember vor dem Beschluss massgebend.</w:t>
            </w:r>
          </w:p>
          <w:p w:rsidR="00E0375C" w:rsidRPr="00E0375C" w:rsidRDefault="00E0375C" w:rsidP="00E0375C">
            <w:pPr>
              <w:spacing w:line="240" w:lineRule="auto"/>
              <w:jc w:val="both"/>
              <w:rPr>
                <w:spacing w:val="0"/>
                <w:sz w:val="17"/>
                <w:szCs w:val="20"/>
                <w:lang w:eastAsia="de-CH"/>
              </w:rPr>
            </w:pPr>
            <w:r w:rsidRPr="00E0375C">
              <w:rPr>
                <w:spacing w:val="0"/>
                <w:sz w:val="17"/>
                <w:szCs w:val="20"/>
                <w:vertAlign w:val="superscript"/>
                <w:lang w:eastAsia="de-CH"/>
              </w:rPr>
              <w:t>2</w:t>
            </w:r>
            <w:r w:rsidRPr="00E0375C">
              <w:rPr>
                <w:spacing w:val="0"/>
                <w:sz w:val="17"/>
                <w:szCs w:val="20"/>
                <w:lang w:eastAsia="de-CH"/>
              </w:rPr>
              <w:t xml:space="preserve"> Neuschätzungen finden erstmals in der dritten Steuerperiode nach dem Kantonsratsbeschluss Anwendung. Sie behalten bis zur nächsten generellen Neuschätzung Gültigkeit, sofern in der Zwischenzeit nicht eine individuelle Schätzung gemäss § 7 f. erfolgt.</w:t>
            </w:r>
          </w:p>
          <w:p w:rsidR="00E0375C" w:rsidRPr="00E0375C" w:rsidRDefault="00E0375C" w:rsidP="00E0375C">
            <w:pPr>
              <w:spacing w:line="240" w:lineRule="auto"/>
              <w:jc w:val="both"/>
              <w:rPr>
                <w:spacing w:val="0"/>
                <w:sz w:val="17"/>
                <w:szCs w:val="20"/>
                <w:lang w:eastAsia="de-CH"/>
              </w:rPr>
            </w:pPr>
            <w:r w:rsidRPr="00E0375C">
              <w:rPr>
                <w:spacing w:val="0"/>
                <w:sz w:val="17"/>
                <w:szCs w:val="20"/>
                <w:vertAlign w:val="superscript"/>
                <w:lang w:eastAsia="de-CH"/>
              </w:rPr>
              <w:t>3</w:t>
            </w:r>
            <w:r w:rsidRPr="00E0375C">
              <w:rPr>
                <w:spacing w:val="0"/>
                <w:sz w:val="17"/>
                <w:szCs w:val="20"/>
                <w:lang w:eastAsia="de-CH"/>
              </w:rPr>
              <w:t xml:space="preserve"> Ergibt sich für das Grundstück oder das Gewerbe ab Kantonsratsbeschluss bis zur Anwendbarkeit der generellen Neuschätzung ein individueller Schätzungsgrund nach § 7, wird auf eine generelle Neuschätzung verzichtet.</w:t>
            </w:r>
          </w:p>
          <w:p w:rsidR="00E0375C" w:rsidRPr="00E0375C" w:rsidRDefault="00E0375C" w:rsidP="00E0375C">
            <w:pPr>
              <w:spacing w:line="240" w:lineRule="auto"/>
              <w:jc w:val="both"/>
              <w:rPr>
                <w:spacing w:val="0"/>
                <w:sz w:val="17"/>
                <w:szCs w:val="20"/>
                <w:lang w:eastAsia="de-CH"/>
              </w:rPr>
            </w:pPr>
            <w:r w:rsidRPr="00E0375C">
              <w:rPr>
                <w:spacing w:val="0"/>
                <w:sz w:val="17"/>
                <w:szCs w:val="20"/>
                <w:lang w:eastAsia="de-CH"/>
              </w:rPr>
              <w:t>Abs. 4 wird aufgehoben.</w:t>
            </w:r>
          </w:p>
          <w:p w:rsidR="00E0375C" w:rsidRPr="00BA69AC" w:rsidRDefault="00E0375C" w:rsidP="00023206">
            <w:pPr>
              <w:spacing w:before="170" w:line="240" w:lineRule="auto"/>
              <w:jc w:val="both"/>
              <w:outlineLvl w:val="0"/>
              <w:rPr>
                <w:sz w:val="17"/>
                <w:szCs w:val="17"/>
              </w:rPr>
            </w:pPr>
          </w:p>
        </w:tc>
        <w:tc>
          <w:tcPr>
            <w:tcW w:w="4752" w:type="dxa"/>
            <w:shd w:val="clear" w:color="auto" w:fill="auto"/>
          </w:tcPr>
          <w:p w:rsidR="00397D80" w:rsidRPr="00BA69AC" w:rsidRDefault="00397D80" w:rsidP="007C3124">
            <w:pPr>
              <w:spacing w:before="280" w:line="240" w:lineRule="auto"/>
              <w:outlineLvl w:val="0"/>
              <w:rPr>
                <w:sz w:val="18"/>
                <w:szCs w:val="18"/>
              </w:rPr>
            </w:pPr>
          </w:p>
        </w:tc>
      </w:tr>
      <w:tr w:rsidR="00232BF7" w:rsidRPr="00232BF7" w:rsidTr="003E4FCD">
        <w:tc>
          <w:tcPr>
            <w:tcW w:w="4661" w:type="dxa"/>
            <w:shd w:val="clear" w:color="auto" w:fill="auto"/>
          </w:tcPr>
          <w:p w:rsidR="00232BF7" w:rsidRPr="00232BF7" w:rsidRDefault="00232BF7" w:rsidP="00232BF7">
            <w:pPr>
              <w:spacing w:before="60" w:after="60" w:line="240" w:lineRule="auto"/>
              <w:outlineLvl w:val="0"/>
              <w:rPr>
                <w:sz w:val="20"/>
                <w:szCs w:val="20"/>
              </w:rPr>
            </w:pPr>
            <w:r w:rsidRPr="00232BF7">
              <w:rPr>
                <w:sz w:val="20"/>
                <w:szCs w:val="20"/>
              </w:rPr>
              <w:t>III. Eigenmietwert</w:t>
            </w:r>
          </w:p>
        </w:tc>
        <w:tc>
          <w:tcPr>
            <w:tcW w:w="4757" w:type="dxa"/>
            <w:shd w:val="clear" w:color="auto" w:fill="auto"/>
          </w:tcPr>
          <w:p w:rsidR="00232BF7" w:rsidRPr="00232BF7" w:rsidRDefault="00232BF7" w:rsidP="00232BF7">
            <w:pPr>
              <w:spacing w:before="60" w:after="60" w:line="240" w:lineRule="auto"/>
              <w:outlineLvl w:val="0"/>
              <w:rPr>
                <w:sz w:val="20"/>
                <w:szCs w:val="20"/>
              </w:rPr>
            </w:pPr>
          </w:p>
        </w:tc>
        <w:tc>
          <w:tcPr>
            <w:tcW w:w="4752" w:type="dxa"/>
            <w:shd w:val="clear" w:color="auto" w:fill="auto"/>
          </w:tcPr>
          <w:p w:rsidR="00232BF7" w:rsidRPr="00232BF7" w:rsidRDefault="00232BF7" w:rsidP="00232BF7">
            <w:pPr>
              <w:spacing w:before="60" w:after="60" w:line="240" w:lineRule="auto"/>
              <w:outlineLvl w:val="0"/>
              <w:rPr>
                <w:sz w:val="20"/>
                <w:szCs w:val="20"/>
              </w:rPr>
            </w:pPr>
          </w:p>
        </w:tc>
      </w:tr>
      <w:tr w:rsidR="00232BF7" w:rsidRPr="00232BF7" w:rsidTr="003E4FCD">
        <w:tc>
          <w:tcPr>
            <w:tcW w:w="4661" w:type="dxa"/>
            <w:shd w:val="clear" w:color="auto" w:fill="auto"/>
          </w:tcPr>
          <w:p w:rsidR="00232BF7" w:rsidRPr="00232BF7" w:rsidRDefault="00232BF7" w:rsidP="00232BF7">
            <w:pPr>
              <w:pStyle w:val="ParagraphRandtitel"/>
              <w:jc w:val="both"/>
              <w:rPr>
                <w:b w:val="0"/>
              </w:rPr>
            </w:pPr>
            <w:r w:rsidRPr="005D0135">
              <w:t>§ </w:t>
            </w:r>
            <w:r>
              <w:t>11</w:t>
            </w:r>
            <w:r>
              <w:tab/>
            </w:r>
            <w:r w:rsidRPr="00232BF7">
              <w:rPr>
                <w:b w:val="0"/>
              </w:rPr>
              <w:t>Grundsatz</w:t>
            </w:r>
          </w:p>
          <w:p w:rsidR="00232BF7" w:rsidRPr="00BA69AC" w:rsidRDefault="00232BF7" w:rsidP="00232BF7">
            <w:pPr>
              <w:pStyle w:val="ParagraphRandtitel"/>
              <w:spacing w:before="0"/>
              <w:jc w:val="both"/>
              <w:rPr>
                <w:b w:val="0"/>
              </w:rPr>
            </w:pPr>
          </w:p>
          <w:p w:rsidR="00232BF7" w:rsidRDefault="00232BF7" w:rsidP="00232BF7">
            <w:pPr>
              <w:autoSpaceDE w:val="0"/>
              <w:autoSpaceDN w:val="0"/>
              <w:adjustRightInd w:val="0"/>
              <w:spacing w:line="240" w:lineRule="auto"/>
              <w:jc w:val="both"/>
              <w:rPr>
                <w:rFonts w:cs="TradeGothic"/>
                <w:spacing w:val="0"/>
                <w:sz w:val="17"/>
                <w:szCs w:val="17"/>
                <w:lang w:eastAsia="de-CH"/>
              </w:rPr>
            </w:pPr>
            <w:r>
              <w:rPr>
                <w:rStyle w:val="Absatznummer"/>
              </w:rPr>
              <w:t>1</w:t>
            </w:r>
            <w:r>
              <w:rPr>
                <w:rFonts w:cs="TradeGothic"/>
                <w:spacing w:val="0"/>
                <w:sz w:val="10"/>
                <w:szCs w:val="10"/>
                <w:lang w:eastAsia="de-CH"/>
              </w:rPr>
              <w:t xml:space="preserve"> </w:t>
            </w:r>
            <w:r w:rsidRPr="00232BF7">
              <w:rPr>
                <w:rFonts w:cs="TradeGothic"/>
                <w:spacing w:val="0"/>
                <w:sz w:val="17"/>
                <w:szCs w:val="17"/>
                <w:lang w:eastAsia="de-CH"/>
              </w:rPr>
              <w:t>Der landwirtschaftliche Eigenmietwert entspricht dem höchstzulässigen Pachtzins</w:t>
            </w:r>
            <w:r>
              <w:rPr>
                <w:rFonts w:cs="TradeGothic"/>
                <w:spacing w:val="0"/>
                <w:sz w:val="17"/>
                <w:szCs w:val="17"/>
                <w:lang w:eastAsia="de-CH"/>
              </w:rPr>
              <w:t xml:space="preserve"> </w:t>
            </w:r>
            <w:r w:rsidRPr="00232BF7">
              <w:rPr>
                <w:rFonts w:cs="TradeGothic"/>
                <w:spacing w:val="0"/>
                <w:sz w:val="17"/>
                <w:szCs w:val="17"/>
                <w:lang w:eastAsia="de-CH"/>
              </w:rPr>
              <w:t>gemäss Art. 2 ff. Pachtzinsverordnung (Verordnung über die Bemessung des</w:t>
            </w:r>
            <w:r>
              <w:rPr>
                <w:rFonts w:cs="TradeGothic"/>
                <w:spacing w:val="0"/>
                <w:sz w:val="17"/>
                <w:szCs w:val="17"/>
                <w:lang w:eastAsia="de-CH"/>
              </w:rPr>
              <w:t xml:space="preserve"> </w:t>
            </w:r>
            <w:r w:rsidRPr="00232BF7">
              <w:rPr>
                <w:rFonts w:cs="TradeGothic"/>
                <w:spacing w:val="0"/>
                <w:sz w:val="17"/>
                <w:szCs w:val="17"/>
                <w:lang w:eastAsia="de-CH"/>
              </w:rPr>
              <w:t>landwirtschaftlichen Pachtzinses vom 11. Februar 1987)</w:t>
            </w:r>
            <w:r w:rsidRPr="00783971">
              <w:rPr>
                <w:rStyle w:val="Absatznummer"/>
              </w:rPr>
              <w:t>6</w:t>
            </w:r>
            <w:r w:rsidRPr="00232BF7">
              <w:rPr>
                <w:rFonts w:cs="TradeGothic"/>
                <w:spacing w:val="0"/>
                <w:sz w:val="17"/>
                <w:szCs w:val="17"/>
                <w:lang w:eastAsia="de-CH"/>
              </w:rPr>
              <w:t xml:space="preserve"> und ist nach den</w:t>
            </w:r>
            <w:r>
              <w:rPr>
                <w:rFonts w:cs="TradeGothic"/>
                <w:spacing w:val="0"/>
                <w:sz w:val="17"/>
                <w:szCs w:val="17"/>
                <w:lang w:eastAsia="de-CH"/>
              </w:rPr>
              <w:t xml:space="preserve"> </w:t>
            </w:r>
            <w:r w:rsidRPr="00232BF7">
              <w:rPr>
                <w:rFonts w:cs="TradeGothic"/>
                <w:spacing w:val="0"/>
                <w:sz w:val="17"/>
                <w:szCs w:val="17"/>
                <w:lang w:eastAsia="de-CH"/>
              </w:rPr>
              <w:t>Regeln der eidg. Schätzungsanleitung festzulegen. Der Normalbedarf an Wohnraum</w:t>
            </w:r>
            <w:r>
              <w:rPr>
                <w:rFonts w:cs="TradeGothic"/>
                <w:spacing w:val="0"/>
                <w:sz w:val="17"/>
                <w:szCs w:val="17"/>
                <w:lang w:eastAsia="de-CH"/>
              </w:rPr>
              <w:t xml:space="preserve"> </w:t>
            </w:r>
            <w:r w:rsidRPr="00232BF7">
              <w:rPr>
                <w:rFonts w:cs="TradeGothic"/>
                <w:spacing w:val="0"/>
                <w:sz w:val="17"/>
                <w:szCs w:val="17"/>
                <w:lang w:eastAsia="de-CH"/>
              </w:rPr>
              <w:t>gemäss § 22 Abs. 2 Satz 2 StG umfasst dabei jedoch die gesamte Betriebsleiterwohnung.</w:t>
            </w:r>
          </w:p>
          <w:p w:rsidR="00232BF7" w:rsidRPr="00BA69AC" w:rsidRDefault="00232BF7" w:rsidP="00023206">
            <w:pPr>
              <w:autoSpaceDE w:val="0"/>
              <w:autoSpaceDN w:val="0"/>
              <w:adjustRightInd w:val="0"/>
              <w:spacing w:before="170" w:line="240" w:lineRule="auto"/>
              <w:jc w:val="both"/>
              <w:rPr>
                <w:szCs w:val="17"/>
              </w:rPr>
            </w:pPr>
          </w:p>
        </w:tc>
        <w:tc>
          <w:tcPr>
            <w:tcW w:w="4757" w:type="dxa"/>
            <w:shd w:val="clear" w:color="auto" w:fill="auto"/>
          </w:tcPr>
          <w:p w:rsidR="00232BF7" w:rsidRPr="00232BF7" w:rsidRDefault="00232BF7" w:rsidP="00232BF7">
            <w:pPr>
              <w:pStyle w:val="ParagraphRandtitel"/>
              <w:jc w:val="both"/>
            </w:pPr>
            <w:r w:rsidRPr="005D0135">
              <w:t>§ </w:t>
            </w:r>
            <w:r>
              <w:t>11 </w:t>
            </w:r>
            <w:r w:rsidRPr="00232BF7">
              <w:rPr>
                <w:b w:val="0"/>
              </w:rPr>
              <w:t>Abs. 1</w:t>
            </w:r>
          </w:p>
          <w:p w:rsidR="00232BF7" w:rsidRDefault="00232BF7" w:rsidP="00232BF7">
            <w:pPr>
              <w:pStyle w:val="ParagraphRandtitel"/>
              <w:spacing w:before="0"/>
              <w:jc w:val="both"/>
              <w:rPr>
                <w:b w:val="0"/>
              </w:rPr>
            </w:pPr>
          </w:p>
          <w:p w:rsidR="00232BF7" w:rsidRPr="00232BF7" w:rsidRDefault="00232BF7" w:rsidP="00232BF7">
            <w:pPr>
              <w:spacing w:line="240" w:lineRule="auto"/>
              <w:jc w:val="both"/>
              <w:rPr>
                <w:spacing w:val="0"/>
                <w:sz w:val="17"/>
                <w:szCs w:val="17"/>
                <w:lang w:eastAsia="de-CH"/>
              </w:rPr>
            </w:pPr>
            <w:r w:rsidRPr="00232BF7">
              <w:rPr>
                <w:spacing w:val="0"/>
                <w:sz w:val="17"/>
                <w:szCs w:val="17"/>
                <w:vertAlign w:val="superscript"/>
                <w:lang w:eastAsia="de-CH"/>
              </w:rPr>
              <w:t>1</w:t>
            </w:r>
            <w:r w:rsidRPr="00232BF7">
              <w:rPr>
                <w:spacing w:val="0"/>
                <w:sz w:val="17"/>
                <w:szCs w:val="17"/>
                <w:lang w:eastAsia="de-CH"/>
              </w:rPr>
              <w:t> Der landwirtschaftliche Eigenmietwert entspricht dem höchstzulässigen Pachtzins gemäss Art.</w:t>
            </w:r>
            <w:r w:rsidR="00023206">
              <w:rPr>
                <w:spacing w:val="0"/>
                <w:sz w:val="17"/>
                <w:szCs w:val="17"/>
                <w:lang w:eastAsia="de-CH"/>
              </w:rPr>
              <w:t> </w:t>
            </w:r>
            <w:r w:rsidRPr="00232BF7">
              <w:rPr>
                <w:spacing w:val="0"/>
                <w:sz w:val="17"/>
                <w:szCs w:val="17"/>
                <w:lang w:eastAsia="de-CH"/>
              </w:rPr>
              <w:t>2</w:t>
            </w:r>
            <w:r w:rsidR="00023206">
              <w:rPr>
                <w:spacing w:val="0"/>
                <w:sz w:val="17"/>
                <w:szCs w:val="17"/>
                <w:lang w:eastAsia="de-CH"/>
              </w:rPr>
              <w:t> </w:t>
            </w:r>
            <w:r w:rsidRPr="00232BF7">
              <w:rPr>
                <w:spacing w:val="0"/>
                <w:sz w:val="17"/>
                <w:szCs w:val="17"/>
                <w:lang w:eastAsia="de-CH"/>
              </w:rPr>
              <w:t>ff. der Verordnung über die Bemessung des landwirtschaftlichen Pachtzinses vom 11. Februar 1987 (Pachtzinsverordnung)</w:t>
            </w:r>
            <w:r w:rsidRPr="00232BF7">
              <w:rPr>
                <w:rFonts w:ascii="Trade Gothic LT Pro" w:hAnsi="Trade Gothic LT Pro"/>
                <w:smallCaps/>
                <w:spacing w:val="0"/>
                <w:sz w:val="17"/>
                <w:szCs w:val="17"/>
                <w:vertAlign w:val="superscript"/>
                <w:lang w:eastAsia="de-CH"/>
              </w:rPr>
              <w:endnoteReference w:id="1"/>
            </w:r>
            <w:r w:rsidRPr="00232BF7">
              <w:rPr>
                <w:spacing w:val="0"/>
                <w:sz w:val="17"/>
                <w:szCs w:val="17"/>
                <w:lang w:eastAsia="de-CH"/>
              </w:rPr>
              <w:t xml:space="preserve"> und ist nach den Regeln der eidgenössischen Schätzungsanleitung (Anhang zur Verordnung über das bäuerliche Bodenrecht vom 4. Oktober 1993, VBB)</w:t>
            </w:r>
            <w:r w:rsidRPr="00232BF7">
              <w:rPr>
                <w:rFonts w:ascii="Trade Gothic LT Pro" w:hAnsi="Trade Gothic LT Pro"/>
                <w:smallCaps/>
                <w:spacing w:val="0"/>
                <w:sz w:val="17"/>
                <w:szCs w:val="17"/>
                <w:vertAlign w:val="superscript"/>
                <w:lang w:eastAsia="de-CH"/>
              </w:rPr>
              <w:endnoteReference w:id="2"/>
            </w:r>
            <w:r w:rsidRPr="00232BF7">
              <w:rPr>
                <w:spacing w:val="0"/>
                <w:sz w:val="17"/>
                <w:szCs w:val="17"/>
                <w:lang w:eastAsia="de-CH"/>
              </w:rPr>
              <w:t xml:space="preserve"> festzulegen. Der Normalbedarf an Wohnraum gemäss § 22 Abs. 2 Satz 2 StG umfasst dabei jedoch die gesamte Betriebsleiterwohnung. </w:t>
            </w:r>
          </w:p>
          <w:p w:rsidR="00232BF7" w:rsidRPr="00232BF7" w:rsidRDefault="00232BF7" w:rsidP="00023206">
            <w:pPr>
              <w:autoSpaceDE w:val="0"/>
              <w:autoSpaceDN w:val="0"/>
              <w:adjustRightInd w:val="0"/>
              <w:spacing w:before="170" w:line="240" w:lineRule="auto"/>
              <w:jc w:val="both"/>
              <w:rPr>
                <w:sz w:val="20"/>
                <w:szCs w:val="20"/>
              </w:rPr>
            </w:pPr>
          </w:p>
        </w:tc>
        <w:tc>
          <w:tcPr>
            <w:tcW w:w="4752" w:type="dxa"/>
            <w:shd w:val="clear" w:color="auto" w:fill="auto"/>
          </w:tcPr>
          <w:p w:rsidR="00232BF7" w:rsidRPr="00232BF7" w:rsidRDefault="00232BF7" w:rsidP="00232BF7">
            <w:pPr>
              <w:spacing w:before="60" w:after="60" w:line="240" w:lineRule="auto"/>
              <w:outlineLvl w:val="0"/>
              <w:rPr>
                <w:sz w:val="20"/>
                <w:szCs w:val="20"/>
              </w:rPr>
            </w:pPr>
          </w:p>
        </w:tc>
      </w:tr>
      <w:tr w:rsidR="00232BF7" w:rsidRPr="00E0375C" w:rsidTr="002E2F52">
        <w:tc>
          <w:tcPr>
            <w:tcW w:w="14170" w:type="dxa"/>
            <w:gridSpan w:val="3"/>
            <w:shd w:val="clear" w:color="auto" w:fill="auto"/>
          </w:tcPr>
          <w:p w:rsidR="00232BF7" w:rsidRPr="003E4FCD" w:rsidRDefault="00232BF7" w:rsidP="00232BF7">
            <w:pPr>
              <w:spacing w:before="60" w:after="60" w:line="240" w:lineRule="auto"/>
              <w:outlineLvl w:val="0"/>
              <w:rPr>
                <w:sz w:val="20"/>
                <w:szCs w:val="20"/>
              </w:rPr>
            </w:pPr>
            <w:r>
              <w:rPr>
                <w:sz w:val="20"/>
                <w:szCs w:val="20"/>
              </w:rPr>
              <w:t>VI. Übergangs- und Schlussbestimmungen</w:t>
            </w:r>
          </w:p>
        </w:tc>
      </w:tr>
      <w:tr w:rsidR="00232BF7" w:rsidRPr="00BA69AC" w:rsidTr="00D76055">
        <w:tc>
          <w:tcPr>
            <w:tcW w:w="4661" w:type="dxa"/>
            <w:shd w:val="clear" w:color="auto" w:fill="auto"/>
          </w:tcPr>
          <w:p w:rsidR="00232BF7" w:rsidRPr="00BA69AC" w:rsidRDefault="00232BF7" w:rsidP="00232BF7">
            <w:pPr>
              <w:spacing w:line="240" w:lineRule="auto"/>
              <w:rPr>
                <w:sz w:val="17"/>
                <w:szCs w:val="17"/>
                <w:lang w:eastAsia="de-CH"/>
              </w:rPr>
            </w:pPr>
          </w:p>
        </w:tc>
        <w:tc>
          <w:tcPr>
            <w:tcW w:w="4757" w:type="dxa"/>
            <w:shd w:val="clear" w:color="auto" w:fill="auto"/>
          </w:tcPr>
          <w:p w:rsidR="00232BF7" w:rsidRDefault="00232BF7" w:rsidP="00232BF7">
            <w:pPr>
              <w:spacing w:before="280" w:line="240" w:lineRule="auto"/>
              <w:outlineLvl w:val="0"/>
              <w:rPr>
                <w:sz w:val="17"/>
                <w:szCs w:val="17"/>
              </w:rPr>
            </w:pPr>
            <w:r w:rsidRPr="005D0135">
              <w:rPr>
                <w:b/>
                <w:sz w:val="17"/>
                <w:szCs w:val="17"/>
              </w:rPr>
              <w:t>§ </w:t>
            </w:r>
            <w:r>
              <w:rPr>
                <w:b/>
                <w:sz w:val="17"/>
                <w:szCs w:val="17"/>
              </w:rPr>
              <w:t xml:space="preserve">24a </w:t>
            </w:r>
            <w:r>
              <w:rPr>
                <w:sz w:val="17"/>
                <w:szCs w:val="17"/>
              </w:rPr>
              <w:t xml:space="preserve">(neu) </w:t>
            </w:r>
            <w:r>
              <w:rPr>
                <w:sz w:val="17"/>
                <w:szCs w:val="17"/>
              </w:rPr>
              <w:tab/>
              <w:t>Teilrevision 2000</w:t>
            </w:r>
          </w:p>
          <w:p w:rsidR="00232BF7" w:rsidRPr="003E4FCD" w:rsidRDefault="00232BF7" w:rsidP="00232BF7">
            <w:pPr>
              <w:spacing w:line="240" w:lineRule="auto"/>
              <w:jc w:val="both"/>
              <w:rPr>
                <w:spacing w:val="0"/>
                <w:sz w:val="17"/>
                <w:szCs w:val="20"/>
                <w:lang w:eastAsia="de-CH"/>
              </w:rPr>
            </w:pPr>
          </w:p>
          <w:p w:rsidR="00232BF7" w:rsidRDefault="00232BF7" w:rsidP="00232BF7">
            <w:pPr>
              <w:spacing w:line="240" w:lineRule="auto"/>
              <w:jc w:val="both"/>
              <w:rPr>
                <w:spacing w:val="0"/>
                <w:sz w:val="17"/>
                <w:szCs w:val="20"/>
                <w:lang w:eastAsia="de-CH"/>
              </w:rPr>
            </w:pPr>
            <w:r w:rsidRPr="003E4FCD">
              <w:rPr>
                <w:spacing w:val="0"/>
                <w:sz w:val="17"/>
                <w:szCs w:val="20"/>
                <w:lang w:eastAsia="de-CH"/>
              </w:rPr>
              <w:t>§ 6 in der Fassung vom 21. April 2004 wird rückwirkend auf den 1. Januar 2018 aufgehoben.</w:t>
            </w:r>
          </w:p>
          <w:p w:rsidR="00232BF7" w:rsidRDefault="00232BF7" w:rsidP="00232BF7">
            <w:pPr>
              <w:spacing w:line="240" w:lineRule="auto"/>
              <w:jc w:val="both"/>
              <w:rPr>
                <w:spacing w:val="0"/>
                <w:sz w:val="17"/>
                <w:szCs w:val="20"/>
                <w:lang w:eastAsia="de-CH"/>
              </w:rPr>
            </w:pPr>
          </w:p>
          <w:p w:rsidR="00232BF7" w:rsidRPr="00BA69AC" w:rsidRDefault="00232BF7" w:rsidP="00232BF7">
            <w:pPr>
              <w:spacing w:line="240" w:lineRule="auto"/>
              <w:jc w:val="both"/>
              <w:rPr>
                <w:sz w:val="17"/>
                <w:szCs w:val="17"/>
              </w:rPr>
            </w:pPr>
          </w:p>
        </w:tc>
        <w:tc>
          <w:tcPr>
            <w:tcW w:w="4752" w:type="dxa"/>
            <w:shd w:val="clear" w:color="auto" w:fill="auto"/>
          </w:tcPr>
          <w:p w:rsidR="00232BF7" w:rsidRPr="00BA69AC" w:rsidRDefault="00232BF7" w:rsidP="00232BF7">
            <w:pPr>
              <w:spacing w:before="280" w:line="240" w:lineRule="auto"/>
              <w:outlineLvl w:val="0"/>
              <w:rPr>
                <w:sz w:val="18"/>
                <w:szCs w:val="18"/>
              </w:rPr>
            </w:pPr>
          </w:p>
        </w:tc>
      </w:tr>
      <w:tr w:rsidR="00232BF7" w:rsidRPr="00BA69AC" w:rsidTr="00D76055">
        <w:tc>
          <w:tcPr>
            <w:tcW w:w="4661" w:type="dxa"/>
            <w:shd w:val="clear" w:color="auto" w:fill="auto"/>
          </w:tcPr>
          <w:p w:rsidR="00232BF7" w:rsidRDefault="00232BF7" w:rsidP="00232BF7">
            <w:pPr>
              <w:pStyle w:val="Standard1"/>
            </w:pPr>
          </w:p>
        </w:tc>
        <w:tc>
          <w:tcPr>
            <w:tcW w:w="4757" w:type="dxa"/>
            <w:shd w:val="clear" w:color="auto" w:fill="auto"/>
          </w:tcPr>
          <w:p w:rsidR="00232BF7" w:rsidRDefault="00232BF7" w:rsidP="00232BF7">
            <w:pPr>
              <w:spacing w:before="280" w:line="240" w:lineRule="auto"/>
              <w:jc w:val="both"/>
              <w:outlineLvl w:val="0"/>
              <w:rPr>
                <w:b/>
                <w:sz w:val="17"/>
                <w:szCs w:val="17"/>
              </w:rPr>
            </w:pPr>
            <w:r>
              <w:rPr>
                <w:b/>
                <w:sz w:val="17"/>
                <w:szCs w:val="17"/>
              </w:rPr>
              <w:t>II.</w:t>
            </w:r>
          </w:p>
          <w:p w:rsidR="00232BF7" w:rsidRPr="0057103D" w:rsidRDefault="00232BF7" w:rsidP="00232BF7">
            <w:pPr>
              <w:tabs>
                <w:tab w:val="left" w:pos="1077"/>
                <w:tab w:val="left" w:pos="1418"/>
              </w:tabs>
              <w:spacing w:before="170" w:line="240" w:lineRule="auto"/>
              <w:jc w:val="both"/>
              <w:rPr>
                <w:spacing w:val="0"/>
                <w:sz w:val="17"/>
                <w:szCs w:val="20"/>
                <w:lang w:eastAsia="de-CH"/>
              </w:rPr>
            </w:pPr>
            <w:r w:rsidRPr="0057103D">
              <w:rPr>
                <w:spacing w:val="0"/>
                <w:sz w:val="17"/>
                <w:szCs w:val="20"/>
                <w:vertAlign w:val="superscript"/>
                <w:lang w:eastAsia="de-CH"/>
              </w:rPr>
              <w:t>1</w:t>
            </w:r>
            <w:r w:rsidRPr="0057103D">
              <w:rPr>
                <w:spacing w:val="0"/>
                <w:sz w:val="17"/>
                <w:szCs w:val="20"/>
                <w:lang w:eastAsia="de-CH"/>
              </w:rPr>
              <w:t xml:space="preserve"> Dieses Gesetz unterliegt dem Referendum gemäss §§ 34 oder 35 der Kantonsverfassung. </w:t>
            </w:r>
          </w:p>
          <w:p w:rsidR="00232BF7" w:rsidRPr="0057103D" w:rsidRDefault="00232BF7" w:rsidP="00232BF7">
            <w:pPr>
              <w:spacing w:line="240" w:lineRule="auto"/>
              <w:jc w:val="both"/>
              <w:rPr>
                <w:spacing w:val="0"/>
                <w:sz w:val="17"/>
                <w:szCs w:val="20"/>
                <w:lang w:eastAsia="de-CH"/>
              </w:rPr>
            </w:pPr>
            <w:r w:rsidRPr="0057103D">
              <w:rPr>
                <w:spacing w:val="0"/>
                <w:sz w:val="17"/>
                <w:szCs w:val="20"/>
                <w:vertAlign w:val="superscript"/>
                <w:lang w:eastAsia="de-CH"/>
              </w:rPr>
              <w:t>2</w:t>
            </w:r>
            <w:r w:rsidRPr="0057103D">
              <w:rPr>
                <w:spacing w:val="0"/>
                <w:sz w:val="17"/>
                <w:szCs w:val="20"/>
                <w:lang w:eastAsia="de-CH"/>
              </w:rPr>
              <w:t> Es wird im Amtsblatt veröffentlicht und nach Inkrafttreten in die Gesetzsammlung aufgenommen.</w:t>
            </w:r>
          </w:p>
          <w:p w:rsidR="00232BF7" w:rsidRDefault="00232BF7" w:rsidP="00232BF7">
            <w:pPr>
              <w:spacing w:line="240" w:lineRule="auto"/>
              <w:jc w:val="both"/>
              <w:rPr>
                <w:spacing w:val="0"/>
                <w:sz w:val="17"/>
                <w:szCs w:val="20"/>
                <w:lang w:eastAsia="de-CH"/>
              </w:rPr>
            </w:pPr>
            <w:r w:rsidRPr="0057103D">
              <w:rPr>
                <w:spacing w:val="0"/>
                <w:sz w:val="17"/>
                <w:szCs w:val="20"/>
                <w:vertAlign w:val="superscript"/>
                <w:lang w:eastAsia="de-CH"/>
              </w:rPr>
              <w:t>3</w:t>
            </w:r>
            <w:r w:rsidRPr="0057103D">
              <w:rPr>
                <w:spacing w:val="0"/>
                <w:sz w:val="17"/>
                <w:szCs w:val="20"/>
                <w:lang w:eastAsia="de-CH"/>
              </w:rPr>
              <w:t xml:space="preserve"> Der Regierungsrat wird mit dem Vollzug beauftragt. </w:t>
            </w:r>
          </w:p>
          <w:p w:rsidR="00232BF7" w:rsidRPr="005D0135" w:rsidRDefault="00232BF7" w:rsidP="00232BF7">
            <w:pPr>
              <w:spacing w:line="240" w:lineRule="auto"/>
              <w:jc w:val="both"/>
              <w:rPr>
                <w:b/>
                <w:sz w:val="17"/>
                <w:szCs w:val="17"/>
              </w:rPr>
            </w:pPr>
          </w:p>
        </w:tc>
        <w:tc>
          <w:tcPr>
            <w:tcW w:w="4752" w:type="dxa"/>
            <w:shd w:val="clear" w:color="auto" w:fill="auto"/>
          </w:tcPr>
          <w:p w:rsidR="00232BF7" w:rsidRPr="00BA69AC" w:rsidRDefault="00232BF7" w:rsidP="00232BF7">
            <w:pPr>
              <w:spacing w:before="280" w:line="240" w:lineRule="auto"/>
              <w:outlineLvl w:val="0"/>
              <w:rPr>
                <w:sz w:val="18"/>
                <w:szCs w:val="18"/>
              </w:rPr>
            </w:pPr>
          </w:p>
        </w:tc>
      </w:tr>
    </w:tbl>
    <w:p w:rsidR="009B795B" w:rsidRPr="00D010AA" w:rsidRDefault="009B795B">
      <w:pPr>
        <w:rPr>
          <w:sz w:val="18"/>
          <w:szCs w:val="18"/>
        </w:rPr>
      </w:pPr>
    </w:p>
    <w:p w:rsidR="004D32A9" w:rsidRPr="003E4FCD" w:rsidRDefault="009B795B" w:rsidP="003E4FCD">
      <w:pPr>
        <w:tabs>
          <w:tab w:val="left" w:pos="3402"/>
        </w:tabs>
        <w:rPr>
          <w:rStyle w:val="Endnotenzeichen"/>
          <w:smallCaps w:val="0"/>
          <w:sz w:val="18"/>
          <w:szCs w:val="18"/>
          <w:vertAlign w:val="baseline"/>
        </w:rPr>
      </w:pPr>
      <w:r>
        <w:rPr>
          <w:sz w:val="18"/>
          <w:szCs w:val="18"/>
        </w:rPr>
        <w:t>__________________________________</w:t>
      </w:r>
    </w:p>
    <w:p w:rsidR="009B795B" w:rsidRDefault="009B795B" w:rsidP="009B795B">
      <w:pPr>
        <w:pStyle w:val="Endnotentext"/>
      </w:pPr>
      <w:r>
        <w:rPr>
          <w:rStyle w:val="Endnotenzeichen"/>
        </w:rPr>
        <w:t>3</w:t>
      </w:r>
      <w:r>
        <w:t xml:space="preserve"> SR 211.412.110.</w:t>
      </w:r>
    </w:p>
    <w:p w:rsidR="0057103D" w:rsidRDefault="0057103D">
      <w:pPr>
        <w:spacing w:line="240" w:lineRule="auto"/>
        <w:rPr>
          <w:color w:val="00B050"/>
          <w:sz w:val="18"/>
          <w:szCs w:val="18"/>
        </w:rPr>
      </w:pPr>
      <w:r>
        <w:rPr>
          <w:color w:val="00B050"/>
          <w:sz w:val="18"/>
          <w:szCs w:val="18"/>
        </w:rPr>
        <w:br w:type="page"/>
      </w:r>
    </w:p>
    <w:p w:rsidR="00487085" w:rsidRPr="00D010AA" w:rsidRDefault="00487085">
      <w:pPr>
        <w:rPr>
          <w:b/>
          <w:sz w:val="28"/>
          <w:szCs w:val="28"/>
          <w:u w:val="single"/>
        </w:rPr>
      </w:pPr>
      <w:r w:rsidRPr="00D010AA">
        <w:rPr>
          <w:b/>
          <w:sz w:val="28"/>
          <w:szCs w:val="28"/>
        </w:rPr>
        <w:t xml:space="preserve">II. </w:t>
      </w:r>
      <w:r w:rsidRPr="00B743D5">
        <w:rPr>
          <w:b/>
          <w:sz w:val="28"/>
          <w:szCs w:val="28"/>
        </w:rPr>
        <w:t>Vernehmlassungsv</w:t>
      </w:r>
      <w:r w:rsidR="00227477">
        <w:rPr>
          <w:b/>
          <w:sz w:val="28"/>
          <w:szCs w:val="28"/>
        </w:rPr>
        <w:t>orlage 2 (</w:t>
      </w:r>
      <w:r w:rsidR="00D010AA" w:rsidRPr="00B743D5">
        <w:rPr>
          <w:b/>
          <w:sz w:val="28"/>
          <w:szCs w:val="28"/>
        </w:rPr>
        <w:t>Ge</w:t>
      </w:r>
      <w:r w:rsidR="00227477">
        <w:rPr>
          <w:b/>
          <w:sz w:val="28"/>
          <w:szCs w:val="28"/>
        </w:rPr>
        <w:t xml:space="preserve">genvorschlag) </w:t>
      </w:r>
    </w:p>
    <w:p w:rsidR="00487085" w:rsidRPr="00D010AA" w:rsidRDefault="0048708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757"/>
        <w:gridCol w:w="4752"/>
      </w:tblGrid>
      <w:tr w:rsidR="00F62D14" w:rsidRPr="005D0135" w:rsidTr="003E4FCD">
        <w:tc>
          <w:tcPr>
            <w:tcW w:w="4661" w:type="dxa"/>
            <w:tcBorders>
              <w:top w:val="single" w:sz="4" w:space="0" w:color="auto"/>
              <w:left w:val="single" w:sz="4" w:space="0" w:color="auto"/>
              <w:bottom w:val="single" w:sz="4" w:space="0" w:color="auto"/>
              <w:right w:val="single" w:sz="4" w:space="0" w:color="auto"/>
            </w:tcBorders>
            <w:shd w:val="clear" w:color="auto" w:fill="auto"/>
            <w:hideMark/>
          </w:tcPr>
          <w:p w:rsidR="00284937" w:rsidRPr="00D010AA" w:rsidRDefault="00284937">
            <w:pPr>
              <w:spacing w:before="60" w:line="240" w:lineRule="auto"/>
              <w:outlineLvl w:val="0"/>
              <w:rPr>
                <w:b/>
              </w:rPr>
            </w:pPr>
            <w:r w:rsidRPr="00D010AA">
              <w:rPr>
                <w:b/>
              </w:rPr>
              <w:t>Bisherige Fassung</w:t>
            </w:r>
          </w:p>
        </w:tc>
        <w:tc>
          <w:tcPr>
            <w:tcW w:w="4757" w:type="dxa"/>
            <w:tcBorders>
              <w:top w:val="single" w:sz="4" w:space="0" w:color="auto"/>
              <w:left w:val="single" w:sz="4" w:space="0" w:color="auto"/>
              <w:bottom w:val="single" w:sz="4" w:space="0" w:color="auto"/>
              <w:right w:val="single" w:sz="4" w:space="0" w:color="auto"/>
            </w:tcBorders>
            <w:shd w:val="clear" w:color="auto" w:fill="auto"/>
            <w:hideMark/>
          </w:tcPr>
          <w:p w:rsidR="00284937" w:rsidRPr="00D010AA" w:rsidRDefault="00284937">
            <w:pPr>
              <w:spacing w:before="60" w:after="60" w:line="240" w:lineRule="auto"/>
              <w:outlineLvl w:val="0"/>
              <w:rPr>
                <w:b/>
              </w:rPr>
            </w:pPr>
            <w:r w:rsidRPr="00D010AA">
              <w:rPr>
                <w:b/>
              </w:rPr>
              <w:t>Revisionsvorlage</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284937" w:rsidRPr="00D010AA" w:rsidRDefault="00284937">
            <w:pPr>
              <w:spacing w:before="60" w:after="60" w:line="240" w:lineRule="auto"/>
              <w:outlineLvl w:val="0"/>
              <w:rPr>
                <w:b/>
              </w:rPr>
            </w:pPr>
            <w:r w:rsidRPr="00D010AA">
              <w:rPr>
                <w:b/>
              </w:rPr>
              <w:t>Bemerkungen</w:t>
            </w:r>
          </w:p>
        </w:tc>
      </w:tr>
      <w:tr w:rsidR="0057103D" w:rsidRPr="005D0135" w:rsidTr="003E4FCD">
        <w:tc>
          <w:tcPr>
            <w:tcW w:w="141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103D" w:rsidRPr="009B5562" w:rsidRDefault="0057103D" w:rsidP="0057103D">
            <w:pPr>
              <w:spacing w:before="60" w:after="60" w:line="240" w:lineRule="auto"/>
              <w:outlineLvl w:val="0"/>
              <w:rPr>
                <w:sz w:val="20"/>
                <w:szCs w:val="20"/>
              </w:rPr>
            </w:pPr>
            <w:r>
              <w:rPr>
                <w:sz w:val="20"/>
                <w:szCs w:val="20"/>
              </w:rPr>
              <w:t>II. Grundlagen</w:t>
            </w:r>
          </w:p>
        </w:tc>
      </w:tr>
      <w:tr w:rsidR="0057103D" w:rsidRPr="005D0135" w:rsidTr="003E4FCD">
        <w:tc>
          <w:tcPr>
            <w:tcW w:w="4661" w:type="dxa"/>
            <w:tcBorders>
              <w:top w:val="single" w:sz="4" w:space="0" w:color="auto"/>
              <w:left w:val="single" w:sz="4" w:space="0" w:color="auto"/>
              <w:bottom w:val="single" w:sz="4" w:space="0" w:color="auto"/>
              <w:right w:val="single" w:sz="4" w:space="0" w:color="auto"/>
            </w:tcBorders>
          </w:tcPr>
          <w:p w:rsidR="0057103D" w:rsidRDefault="0057103D" w:rsidP="003E4FCD">
            <w:pPr>
              <w:pStyle w:val="ParagraphRandtitel"/>
              <w:jc w:val="both"/>
              <w:rPr>
                <w:b w:val="0"/>
              </w:rPr>
            </w:pPr>
            <w:r w:rsidRPr="005D0135">
              <w:t>§ </w:t>
            </w:r>
            <w:r>
              <w:t>6</w:t>
            </w:r>
            <w:r>
              <w:tab/>
            </w:r>
            <w:r>
              <w:rPr>
                <w:b w:val="0"/>
              </w:rPr>
              <w:t xml:space="preserve">2. Generelle Neuschätzung </w:t>
            </w:r>
          </w:p>
          <w:p w:rsidR="0057103D" w:rsidRPr="00BA69AC" w:rsidRDefault="0057103D">
            <w:pPr>
              <w:pStyle w:val="ParagraphRandtitel"/>
              <w:spacing w:before="0"/>
              <w:jc w:val="both"/>
              <w:rPr>
                <w:b w:val="0"/>
              </w:rPr>
            </w:pPr>
          </w:p>
          <w:p w:rsidR="0057103D" w:rsidRDefault="0057103D" w:rsidP="003E4FCD">
            <w:pPr>
              <w:autoSpaceDE w:val="0"/>
              <w:autoSpaceDN w:val="0"/>
              <w:adjustRightInd w:val="0"/>
              <w:spacing w:line="240" w:lineRule="auto"/>
              <w:jc w:val="both"/>
              <w:rPr>
                <w:rFonts w:cs="TradeGothic"/>
                <w:spacing w:val="0"/>
                <w:sz w:val="17"/>
                <w:szCs w:val="17"/>
                <w:lang w:eastAsia="de-CH"/>
              </w:rPr>
            </w:pPr>
            <w:r>
              <w:rPr>
                <w:rStyle w:val="Absatznummer"/>
              </w:rPr>
              <w:t>1</w:t>
            </w:r>
            <w:r>
              <w:rPr>
                <w:rFonts w:cs="TradeGothic"/>
                <w:spacing w:val="0"/>
                <w:sz w:val="10"/>
                <w:szCs w:val="10"/>
                <w:lang w:eastAsia="de-CH"/>
              </w:rPr>
              <w:t xml:space="preserve"> </w:t>
            </w:r>
            <w:r>
              <w:rPr>
                <w:rFonts w:cs="TradeGothic"/>
                <w:spacing w:val="0"/>
                <w:sz w:val="17"/>
                <w:szCs w:val="17"/>
                <w:lang w:eastAsia="de-CH"/>
              </w:rPr>
              <w:t>Generelle Neuschätzungen werden mit jeder neuen Anleitung für die Schätzung des landwirtschaftlichen Ertragswertes, Anhang I zur Verordnung über das bäuerliche Bodenrecht (VBB)</w:t>
            </w:r>
            <w:r w:rsidR="004D32A9">
              <w:rPr>
                <w:rStyle w:val="Absatznummer"/>
              </w:rPr>
              <w:t>3</w:t>
            </w:r>
            <w:r w:rsidR="00552722">
              <w:rPr>
                <w:rStyle w:val="Absatznummer"/>
              </w:rPr>
              <w:t xml:space="preserve"> </w:t>
            </w:r>
            <w:r>
              <w:rPr>
                <w:rFonts w:cs="TradeGothic"/>
                <w:spacing w:val="0"/>
                <w:sz w:val="17"/>
                <w:szCs w:val="17"/>
                <w:lang w:eastAsia="de-CH"/>
              </w:rPr>
              <w:t>vom 4.</w:t>
            </w:r>
            <w:r w:rsidR="00552722">
              <w:rPr>
                <w:rFonts w:cs="TradeGothic"/>
                <w:spacing w:val="0"/>
                <w:sz w:val="17"/>
                <w:szCs w:val="17"/>
                <w:lang w:eastAsia="de-CH"/>
              </w:rPr>
              <w:t> </w:t>
            </w:r>
            <w:r>
              <w:rPr>
                <w:rFonts w:cs="TradeGothic"/>
                <w:spacing w:val="0"/>
                <w:sz w:val="17"/>
                <w:szCs w:val="17"/>
                <w:lang w:eastAsia="de-CH"/>
              </w:rPr>
              <w:t>Oktober 1993 (eidg. Schätzungsanleitung), ausgelöst und im Jahr der Inkraftsetzung vorgenommen, sofern sich mit der neuen Schätzungsanleitung die Schätzungswerte um mindestens 20% verändern. Die erste generelle Neuschätzung gestützt auf diese Verordnung erfolgt per 1. Januar 2004.</w:t>
            </w:r>
          </w:p>
          <w:p w:rsidR="0057103D" w:rsidRDefault="0057103D" w:rsidP="003E4FCD">
            <w:pPr>
              <w:autoSpaceDE w:val="0"/>
              <w:autoSpaceDN w:val="0"/>
              <w:adjustRightInd w:val="0"/>
              <w:spacing w:line="240" w:lineRule="auto"/>
              <w:jc w:val="both"/>
              <w:rPr>
                <w:rFonts w:cs="TradeGothic"/>
                <w:spacing w:val="0"/>
                <w:sz w:val="17"/>
                <w:szCs w:val="17"/>
                <w:lang w:eastAsia="de-CH"/>
              </w:rPr>
            </w:pPr>
            <w:r w:rsidRPr="00F21D17">
              <w:rPr>
                <w:rStyle w:val="Absatznummer"/>
              </w:rPr>
              <w:t xml:space="preserve">2 </w:t>
            </w:r>
            <w:r>
              <w:rPr>
                <w:rFonts w:cs="TradeGothic"/>
                <w:spacing w:val="0"/>
                <w:sz w:val="17"/>
                <w:szCs w:val="17"/>
                <w:lang w:eastAsia="de-CH"/>
              </w:rPr>
              <w:t>Massgebend für die Neuschätzung sind die Verhältnisse am 31. Dezember des Jahres vor der Schätzung.</w:t>
            </w:r>
          </w:p>
          <w:p w:rsidR="0057103D" w:rsidRDefault="0057103D" w:rsidP="003E4FCD">
            <w:pPr>
              <w:autoSpaceDE w:val="0"/>
              <w:autoSpaceDN w:val="0"/>
              <w:adjustRightInd w:val="0"/>
              <w:spacing w:line="240" w:lineRule="auto"/>
              <w:jc w:val="both"/>
              <w:rPr>
                <w:rFonts w:cs="TradeGothic"/>
                <w:spacing w:val="0"/>
                <w:sz w:val="17"/>
                <w:szCs w:val="17"/>
                <w:lang w:eastAsia="de-CH"/>
              </w:rPr>
            </w:pPr>
            <w:r w:rsidRPr="00F21D17">
              <w:rPr>
                <w:rStyle w:val="Absatznummer"/>
              </w:rPr>
              <w:t xml:space="preserve">3 </w:t>
            </w:r>
            <w:r>
              <w:rPr>
                <w:rFonts w:cs="TradeGothic"/>
                <w:spacing w:val="0"/>
                <w:sz w:val="17"/>
                <w:szCs w:val="17"/>
                <w:lang w:eastAsia="de-CH"/>
              </w:rPr>
              <w:t>Neuschätzungen finden erstmals auf die Steuerperiode des Schätzungsjahres Anwendung. Sie behalten bis zur nächsten generellen Neuschätzung Gültigkeit, sofern in der Zwischenzeit nicht eine individuelle Schätzung gemäss § 7 f. erfolgt.</w:t>
            </w:r>
          </w:p>
          <w:p w:rsidR="0057103D" w:rsidRDefault="0057103D" w:rsidP="003E4FCD">
            <w:pPr>
              <w:autoSpaceDE w:val="0"/>
              <w:autoSpaceDN w:val="0"/>
              <w:adjustRightInd w:val="0"/>
              <w:spacing w:line="240" w:lineRule="auto"/>
              <w:jc w:val="both"/>
              <w:rPr>
                <w:rFonts w:cs="TradeGothic"/>
                <w:spacing w:val="0"/>
                <w:sz w:val="17"/>
                <w:szCs w:val="17"/>
                <w:lang w:eastAsia="de-CH"/>
              </w:rPr>
            </w:pPr>
            <w:r w:rsidRPr="00F21D17">
              <w:rPr>
                <w:rStyle w:val="Absatznummer"/>
              </w:rPr>
              <w:t xml:space="preserve">4 </w:t>
            </w:r>
            <w:r>
              <w:rPr>
                <w:rFonts w:cs="TradeGothic"/>
                <w:spacing w:val="0"/>
                <w:sz w:val="17"/>
                <w:szCs w:val="17"/>
                <w:lang w:eastAsia="de-CH"/>
              </w:rPr>
              <w:t>Auf die Bewertung eines Grundstückes oder Gewerbes im Rahmen der generellen Neuschätzung wird verzichtet, wenn im gleichen Jahr eine individuelle Schätzung dieses Grundstückes oder Gewerbes erfolgt.</w:t>
            </w:r>
          </w:p>
          <w:p w:rsidR="00722F79" w:rsidRDefault="00722F79" w:rsidP="003E4FCD">
            <w:pPr>
              <w:autoSpaceDE w:val="0"/>
              <w:autoSpaceDN w:val="0"/>
              <w:adjustRightInd w:val="0"/>
              <w:spacing w:line="240" w:lineRule="auto"/>
              <w:jc w:val="both"/>
              <w:rPr>
                <w:rFonts w:cs="TradeGothic"/>
                <w:spacing w:val="0"/>
                <w:sz w:val="17"/>
                <w:szCs w:val="17"/>
                <w:lang w:eastAsia="de-CH"/>
              </w:rPr>
            </w:pPr>
          </w:p>
          <w:p w:rsidR="0057103D" w:rsidRPr="000752FC" w:rsidRDefault="0057103D" w:rsidP="0057103D">
            <w:pPr>
              <w:spacing w:line="240" w:lineRule="auto"/>
              <w:jc w:val="both"/>
              <w:rPr>
                <w:sz w:val="17"/>
                <w:szCs w:val="17"/>
                <w:lang w:eastAsia="de-CH"/>
              </w:rPr>
            </w:pPr>
          </w:p>
        </w:tc>
        <w:tc>
          <w:tcPr>
            <w:tcW w:w="4757" w:type="dxa"/>
            <w:tcBorders>
              <w:top w:val="single" w:sz="4" w:space="0" w:color="auto"/>
              <w:left w:val="single" w:sz="4" w:space="0" w:color="auto"/>
              <w:bottom w:val="single" w:sz="4" w:space="0" w:color="auto"/>
              <w:right w:val="single" w:sz="4" w:space="0" w:color="auto"/>
            </w:tcBorders>
            <w:hideMark/>
          </w:tcPr>
          <w:p w:rsidR="0057103D" w:rsidRDefault="0057103D" w:rsidP="0057103D">
            <w:pPr>
              <w:spacing w:before="280" w:line="240" w:lineRule="auto"/>
              <w:outlineLvl w:val="0"/>
              <w:rPr>
                <w:sz w:val="17"/>
                <w:szCs w:val="17"/>
              </w:rPr>
            </w:pPr>
            <w:r w:rsidRPr="005D0135">
              <w:rPr>
                <w:b/>
                <w:sz w:val="17"/>
                <w:szCs w:val="17"/>
              </w:rPr>
              <w:t>§ </w:t>
            </w:r>
            <w:r>
              <w:rPr>
                <w:b/>
                <w:sz w:val="17"/>
                <w:szCs w:val="17"/>
              </w:rPr>
              <w:t xml:space="preserve">6 </w:t>
            </w:r>
            <w:r w:rsidRPr="00F21D17">
              <w:rPr>
                <w:sz w:val="17"/>
                <w:szCs w:val="17"/>
              </w:rPr>
              <w:t>Abs. 1 bis 4</w:t>
            </w:r>
            <w:bookmarkStart w:id="0" w:name="_GoBack"/>
            <w:bookmarkEnd w:id="0"/>
          </w:p>
          <w:p w:rsidR="0057103D" w:rsidRPr="00E0375C" w:rsidRDefault="0057103D">
            <w:pPr>
              <w:spacing w:line="240" w:lineRule="auto"/>
              <w:jc w:val="both"/>
              <w:rPr>
                <w:spacing w:val="0"/>
                <w:sz w:val="17"/>
                <w:szCs w:val="20"/>
                <w:lang w:eastAsia="de-CH"/>
              </w:rPr>
            </w:pPr>
          </w:p>
          <w:p w:rsidR="00722F79" w:rsidRPr="00722F79" w:rsidRDefault="00722F79" w:rsidP="00722F79">
            <w:pPr>
              <w:tabs>
                <w:tab w:val="left" w:pos="1077"/>
              </w:tabs>
              <w:spacing w:line="240" w:lineRule="auto"/>
              <w:rPr>
                <w:spacing w:val="0"/>
                <w:sz w:val="17"/>
                <w:szCs w:val="17"/>
                <w:lang w:eastAsia="de-CH"/>
              </w:rPr>
            </w:pPr>
            <w:r w:rsidRPr="00722F79">
              <w:rPr>
                <w:spacing w:val="0"/>
                <w:sz w:val="17"/>
                <w:szCs w:val="17"/>
                <w:vertAlign w:val="superscript"/>
                <w:lang w:eastAsia="de-CH"/>
              </w:rPr>
              <w:t>1</w:t>
            </w:r>
            <w:r w:rsidRPr="00722F79">
              <w:rPr>
                <w:spacing w:val="0"/>
                <w:sz w:val="17"/>
                <w:szCs w:val="17"/>
                <w:lang w:eastAsia="de-CH"/>
              </w:rPr>
              <w:t> Eine generelle Neuschätzung wird ausgelöst, wenn:</w:t>
            </w:r>
          </w:p>
          <w:p w:rsidR="00722F79" w:rsidRPr="00722F79" w:rsidRDefault="00722F79" w:rsidP="00722F79">
            <w:pPr>
              <w:tabs>
                <w:tab w:val="left" w:pos="284"/>
                <w:tab w:val="left" w:pos="567"/>
              </w:tabs>
              <w:spacing w:line="240" w:lineRule="auto"/>
              <w:ind w:left="284" w:hanging="284"/>
              <w:jc w:val="both"/>
              <w:rPr>
                <w:spacing w:val="0"/>
                <w:sz w:val="17"/>
                <w:szCs w:val="17"/>
                <w:lang w:eastAsia="de-CH"/>
              </w:rPr>
            </w:pPr>
            <w:r w:rsidRPr="00722F79">
              <w:rPr>
                <w:spacing w:val="0"/>
                <w:sz w:val="17"/>
                <w:szCs w:val="17"/>
                <w:lang w:eastAsia="de-CH"/>
              </w:rPr>
              <w:t xml:space="preserve">a) </w:t>
            </w:r>
            <w:r w:rsidRPr="00722F79">
              <w:rPr>
                <w:spacing w:val="0"/>
                <w:sz w:val="17"/>
                <w:szCs w:val="17"/>
                <w:lang w:eastAsia="de-CH"/>
              </w:rPr>
              <w:tab/>
              <w:t>eine neue eidgenössische Schätzungsanleitung (Anhang zur Verordnung über das bäuerliche Bodenrecht vom 4. Oktober 1993, VBB)</w:t>
            </w:r>
            <w:r>
              <w:rPr>
                <w:rStyle w:val="Absatznummer"/>
              </w:rPr>
              <w:t xml:space="preserve"> 3</w:t>
            </w:r>
            <w:r w:rsidRPr="00722F79">
              <w:rPr>
                <w:spacing w:val="0"/>
                <w:sz w:val="17"/>
                <w:szCs w:val="17"/>
                <w:lang w:eastAsia="de-CH"/>
              </w:rPr>
              <w:t xml:space="preserve"> in Kraft tritt und</w:t>
            </w:r>
          </w:p>
          <w:p w:rsidR="00722F79" w:rsidRDefault="00722F79" w:rsidP="00722F79">
            <w:pPr>
              <w:tabs>
                <w:tab w:val="left" w:pos="284"/>
                <w:tab w:val="left" w:pos="567"/>
              </w:tabs>
              <w:spacing w:line="240" w:lineRule="auto"/>
              <w:ind w:left="284" w:hanging="284"/>
              <w:jc w:val="both"/>
              <w:rPr>
                <w:spacing w:val="0"/>
                <w:sz w:val="17"/>
                <w:szCs w:val="17"/>
                <w:lang w:eastAsia="de-CH"/>
              </w:rPr>
            </w:pPr>
            <w:r w:rsidRPr="00722F79">
              <w:rPr>
                <w:spacing w:val="0"/>
                <w:sz w:val="17"/>
                <w:szCs w:val="17"/>
                <w:lang w:eastAsia="de-CH"/>
              </w:rPr>
              <w:t xml:space="preserve">b) </w:t>
            </w:r>
            <w:r w:rsidRPr="00722F79">
              <w:rPr>
                <w:spacing w:val="0"/>
                <w:sz w:val="17"/>
                <w:szCs w:val="17"/>
                <w:lang w:eastAsia="de-CH"/>
              </w:rPr>
              <w:tab/>
              <w:t>diese zur Veränderung der Schätzungswerte um mindestens 20% führt.</w:t>
            </w:r>
          </w:p>
          <w:p w:rsidR="00722F79" w:rsidRPr="00722F79" w:rsidRDefault="00722F79" w:rsidP="00722F79">
            <w:pPr>
              <w:spacing w:line="240" w:lineRule="auto"/>
              <w:jc w:val="both"/>
              <w:rPr>
                <w:spacing w:val="0"/>
                <w:sz w:val="17"/>
                <w:szCs w:val="17"/>
                <w:lang w:eastAsia="de-CH"/>
              </w:rPr>
            </w:pPr>
            <w:r w:rsidRPr="00722F79">
              <w:rPr>
                <w:spacing w:val="0"/>
                <w:sz w:val="17"/>
                <w:szCs w:val="17"/>
                <w:vertAlign w:val="superscript"/>
                <w:lang w:eastAsia="de-CH"/>
              </w:rPr>
              <w:t>2</w:t>
            </w:r>
            <w:r w:rsidRPr="00722F79">
              <w:rPr>
                <w:spacing w:val="0"/>
                <w:sz w:val="17"/>
                <w:szCs w:val="17"/>
                <w:lang w:eastAsia="de-CH"/>
              </w:rPr>
              <w:t> Massgebend für die Neuschätzung sind die Verhältnisse am 31. Dezember vor dem jeweiligen Inkrafttreten der neuen eidgenössischen Schätzungsanleitung.</w:t>
            </w:r>
          </w:p>
          <w:p w:rsidR="00722F79" w:rsidRPr="00722F79" w:rsidRDefault="00722F79" w:rsidP="00722F79">
            <w:pPr>
              <w:spacing w:line="240" w:lineRule="auto"/>
              <w:jc w:val="both"/>
              <w:rPr>
                <w:spacing w:val="0"/>
                <w:sz w:val="17"/>
                <w:szCs w:val="17"/>
                <w:lang w:eastAsia="de-CH"/>
              </w:rPr>
            </w:pPr>
            <w:r w:rsidRPr="00722F79">
              <w:rPr>
                <w:spacing w:val="0"/>
                <w:sz w:val="17"/>
                <w:szCs w:val="17"/>
                <w:vertAlign w:val="superscript"/>
                <w:lang w:eastAsia="de-CH"/>
              </w:rPr>
              <w:t>3</w:t>
            </w:r>
            <w:r w:rsidRPr="00722F79">
              <w:rPr>
                <w:spacing w:val="0"/>
                <w:sz w:val="17"/>
                <w:szCs w:val="17"/>
                <w:lang w:eastAsia="de-CH"/>
              </w:rPr>
              <w:t> Neuschätzungen finden erstmals in der dritten Steuerperiode nach Inkrafttreten der neuen eidgenössischen Schätzungsanleitung Anwendung. Sie behalten bis zur nächsten generellen Neuschätzung Gültigkeit, sofern in der Zwischenzeit nicht eine individuelle Schätzung gemäss § 7 f. erfolgt.</w:t>
            </w:r>
          </w:p>
          <w:p w:rsidR="00604A77" w:rsidRDefault="00722F79">
            <w:pPr>
              <w:spacing w:line="240" w:lineRule="auto"/>
              <w:jc w:val="both"/>
              <w:rPr>
                <w:spacing w:val="0"/>
                <w:sz w:val="17"/>
                <w:szCs w:val="17"/>
                <w:lang w:eastAsia="de-CH"/>
              </w:rPr>
            </w:pPr>
            <w:r w:rsidRPr="00722F79">
              <w:rPr>
                <w:spacing w:val="0"/>
                <w:sz w:val="17"/>
                <w:szCs w:val="17"/>
                <w:vertAlign w:val="superscript"/>
                <w:lang w:eastAsia="de-CH"/>
              </w:rPr>
              <w:t>4</w:t>
            </w:r>
            <w:r w:rsidRPr="00722F79">
              <w:rPr>
                <w:spacing w:val="0"/>
                <w:sz w:val="17"/>
                <w:szCs w:val="17"/>
                <w:lang w:eastAsia="de-CH"/>
              </w:rPr>
              <w:t> Auf die generelle Neuschätzung wird verzichtet, wenn sich für das Grundstück oder das Gewerbe ab Inkrafttreten der eidgenössischen Schätzungsanleitung bis zur Anwendbarkeit der generellen Neuschätzung ein individueller Schätzungsgrund nach § 7 ergibt.</w:t>
            </w:r>
          </w:p>
          <w:p w:rsidR="00722F79" w:rsidRDefault="00722F79">
            <w:pPr>
              <w:spacing w:line="240" w:lineRule="auto"/>
              <w:jc w:val="both"/>
              <w:rPr>
                <w:spacing w:val="0"/>
                <w:sz w:val="17"/>
                <w:szCs w:val="20"/>
                <w:lang w:eastAsia="de-CH"/>
              </w:rPr>
            </w:pPr>
          </w:p>
          <w:p w:rsidR="0057103D" w:rsidRPr="000752FC" w:rsidRDefault="0057103D" w:rsidP="0057103D">
            <w:pPr>
              <w:tabs>
                <w:tab w:val="left" w:pos="2704"/>
              </w:tabs>
              <w:spacing w:line="240" w:lineRule="auto"/>
              <w:outlineLvl w:val="0"/>
              <w:rPr>
                <w:sz w:val="17"/>
                <w:szCs w:val="17"/>
              </w:rPr>
            </w:pPr>
          </w:p>
        </w:tc>
        <w:tc>
          <w:tcPr>
            <w:tcW w:w="4752" w:type="dxa"/>
            <w:tcBorders>
              <w:top w:val="single" w:sz="4" w:space="0" w:color="auto"/>
              <w:left w:val="single" w:sz="4" w:space="0" w:color="auto"/>
              <w:bottom w:val="single" w:sz="4" w:space="0" w:color="auto"/>
              <w:right w:val="single" w:sz="4" w:space="0" w:color="auto"/>
            </w:tcBorders>
          </w:tcPr>
          <w:p w:rsidR="0057103D" w:rsidRPr="000752FC" w:rsidRDefault="0057103D" w:rsidP="0057103D">
            <w:pPr>
              <w:spacing w:before="280" w:line="240" w:lineRule="auto"/>
              <w:outlineLvl w:val="0"/>
              <w:rPr>
                <w:sz w:val="18"/>
                <w:szCs w:val="18"/>
              </w:rPr>
            </w:pPr>
          </w:p>
        </w:tc>
      </w:tr>
      <w:tr w:rsidR="004D32A9" w:rsidRPr="00F21D17" w:rsidTr="00F21D17">
        <w:tc>
          <w:tcPr>
            <w:tcW w:w="14170" w:type="dxa"/>
            <w:gridSpan w:val="3"/>
            <w:shd w:val="clear" w:color="auto" w:fill="auto"/>
          </w:tcPr>
          <w:p w:rsidR="004D32A9" w:rsidRPr="00F21D17" w:rsidRDefault="004D32A9" w:rsidP="00F21D17">
            <w:pPr>
              <w:spacing w:before="60" w:after="60" w:line="240" w:lineRule="auto"/>
              <w:outlineLvl w:val="0"/>
              <w:rPr>
                <w:sz w:val="20"/>
                <w:szCs w:val="20"/>
              </w:rPr>
            </w:pPr>
            <w:r>
              <w:rPr>
                <w:sz w:val="20"/>
                <w:szCs w:val="20"/>
              </w:rPr>
              <w:t>VI. Übergangs- und Schlussbestimmungen</w:t>
            </w:r>
          </w:p>
        </w:tc>
      </w:tr>
      <w:tr w:rsidR="0057103D" w:rsidRPr="005D0135" w:rsidTr="003E4FCD">
        <w:tc>
          <w:tcPr>
            <w:tcW w:w="4661" w:type="dxa"/>
            <w:tcBorders>
              <w:top w:val="single" w:sz="4" w:space="0" w:color="auto"/>
              <w:left w:val="single" w:sz="4" w:space="0" w:color="auto"/>
              <w:bottom w:val="single" w:sz="4" w:space="0" w:color="auto"/>
              <w:right w:val="single" w:sz="4" w:space="0" w:color="auto"/>
            </w:tcBorders>
          </w:tcPr>
          <w:p w:rsidR="0057103D" w:rsidRPr="00971901" w:rsidRDefault="0057103D" w:rsidP="003E4FCD">
            <w:pPr>
              <w:spacing w:line="240" w:lineRule="auto"/>
              <w:jc w:val="both"/>
              <w:rPr>
                <w:sz w:val="17"/>
                <w:szCs w:val="17"/>
                <w:lang w:eastAsia="de-CH"/>
              </w:rPr>
            </w:pPr>
          </w:p>
        </w:tc>
        <w:tc>
          <w:tcPr>
            <w:tcW w:w="4757" w:type="dxa"/>
            <w:tcBorders>
              <w:top w:val="single" w:sz="4" w:space="0" w:color="auto"/>
              <w:left w:val="single" w:sz="4" w:space="0" w:color="auto"/>
              <w:bottom w:val="single" w:sz="4" w:space="0" w:color="auto"/>
              <w:right w:val="single" w:sz="4" w:space="0" w:color="auto"/>
            </w:tcBorders>
            <w:hideMark/>
          </w:tcPr>
          <w:p w:rsidR="004D32A9" w:rsidRDefault="004D32A9" w:rsidP="004D32A9">
            <w:pPr>
              <w:spacing w:before="280" w:line="240" w:lineRule="auto"/>
              <w:outlineLvl w:val="0"/>
              <w:rPr>
                <w:sz w:val="17"/>
                <w:szCs w:val="17"/>
              </w:rPr>
            </w:pPr>
            <w:r w:rsidRPr="005D0135">
              <w:rPr>
                <w:b/>
                <w:sz w:val="17"/>
                <w:szCs w:val="17"/>
              </w:rPr>
              <w:t>§ </w:t>
            </w:r>
            <w:r>
              <w:rPr>
                <w:b/>
                <w:sz w:val="17"/>
                <w:szCs w:val="17"/>
              </w:rPr>
              <w:t xml:space="preserve">24a </w:t>
            </w:r>
            <w:r>
              <w:rPr>
                <w:sz w:val="17"/>
                <w:szCs w:val="17"/>
              </w:rPr>
              <w:t xml:space="preserve">(neu) </w:t>
            </w:r>
            <w:r>
              <w:rPr>
                <w:sz w:val="17"/>
                <w:szCs w:val="17"/>
              </w:rPr>
              <w:tab/>
              <w:t>Teilrevision 2000</w:t>
            </w:r>
          </w:p>
          <w:p w:rsidR="00722F79" w:rsidRPr="00722F79" w:rsidRDefault="00722F79" w:rsidP="00722F79">
            <w:pPr>
              <w:spacing w:line="240" w:lineRule="auto"/>
              <w:jc w:val="both"/>
              <w:rPr>
                <w:spacing w:val="0"/>
                <w:sz w:val="17"/>
                <w:szCs w:val="20"/>
                <w:lang w:eastAsia="de-CH"/>
              </w:rPr>
            </w:pPr>
          </w:p>
          <w:p w:rsidR="00722F79" w:rsidRPr="00722F79" w:rsidRDefault="00722F79" w:rsidP="00722F79">
            <w:pPr>
              <w:spacing w:line="240" w:lineRule="auto"/>
              <w:jc w:val="both"/>
              <w:rPr>
                <w:spacing w:val="0"/>
                <w:sz w:val="17"/>
                <w:szCs w:val="17"/>
                <w:lang w:eastAsia="de-CH"/>
              </w:rPr>
            </w:pPr>
            <w:r w:rsidRPr="00722F79">
              <w:rPr>
                <w:spacing w:val="0"/>
                <w:sz w:val="17"/>
                <w:szCs w:val="17"/>
                <w:vertAlign w:val="superscript"/>
                <w:lang w:eastAsia="de-CH"/>
              </w:rPr>
              <w:t>1 </w:t>
            </w:r>
            <w:r w:rsidRPr="00722F79">
              <w:rPr>
                <w:spacing w:val="0"/>
                <w:sz w:val="17"/>
                <w:szCs w:val="20"/>
                <w:lang w:eastAsia="de-CH"/>
              </w:rPr>
              <w:t>Der</w:t>
            </w:r>
            <w:r w:rsidRPr="00722F79">
              <w:rPr>
                <w:spacing w:val="0"/>
                <w:sz w:val="17"/>
                <w:szCs w:val="17"/>
                <w:lang w:eastAsia="de-CH"/>
              </w:rPr>
              <w:t xml:space="preserve"> geänderte § 6 tritt rückwirkend auf den 1. Januar 2018 in Kraft.</w:t>
            </w:r>
          </w:p>
          <w:p w:rsidR="00722F79" w:rsidRPr="00722F79" w:rsidRDefault="00722F79" w:rsidP="00722F79">
            <w:pPr>
              <w:spacing w:line="240" w:lineRule="auto"/>
              <w:jc w:val="both"/>
              <w:rPr>
                <w:spacing w:val="0"/>
                <w:sz w:val="17"/>
                <w:szCs w:val="17"/>
                <w:lang w:eastAsia="de-CH"/>
              </w:rPr>
            </w:pPr>
            <w:r w:rsidRPr="00722F79">
              <w:rPr>
                <w:spacing w:val="0"/>
                <w:sz w:val="17"/>
                <w:szCs w:val="17"/>
                <w:vertAlign w:val="superscript"/>
                <w:lang w:eastAsia="de-CH"/>
              </w:rPr>
              <w:t>2</w:t>
            </w:r>
            <w:r w:rsidRPr="00722F79">
              <w:rPr>
                <w:spacing w:val="0"/>
                <w:sz w:val="17"/>
                <w:szCs w:val="17"/>
                <w:lang w:eastAsia="de-CH"/>
              </w:rPr>
              <w:t> Die laufende generelle Neuschätzung 2018 wird durchgeführt und findet erstmals Anwendung auf die Steuerperiode 2021.</w:t>
            </w:r>
          </w:p>
          <w:p w:rsidR="0057103D" w:rsidRDefault="0057103D" w:rsidP="003E4FCD">
            <w:pPr>
              <w:tabs>
                <w:tab w:val="left" w:pos="2704"/>
              </w:tabs>
              <w:spacing w:line="240" w:lineRule="auto"/>
              <w:jc w:val="both"/>
              <w:outlineLvl w:val="0"/>
              <w:rPr>
                <w:sz w:val="17"/>
                <w:szCs w:val="17"/>
              </w:rPr>
            </w:pPr>
          </w:p>
          <w:p w:rsidR="00552722" w:rsidRPr="00971901" w:rsidRDefault="00552722" w:rsidP="003E4FCD">
            <w:pPr>
              <w:tabs>
                <w:tab w:val="left" w:pos="2704"/>
              </w:tabs>
              <w:spacing w:line="240" w:lineRule="auto"/>
              <w:jc w:val="both"/>
              <w:outlineLvl w:val="0"/>
              <w:rPr>
                <w:sz w:val="17"/>
                <w:szCs w:val="17"/>
              </w:rPr>
            </w:pPr>
          </w:p>
        </w:tc>
        <w:tc>
          <w:tcPr>
            <w:tcW w:w="4752" w:type="dxa"/>
            <w:tcBorders>
              <w:top w:val="single" w:sz="4" w:space="0" w:color="auto"/>
              <w:left w:val="single" w:sz="4" w:space="0" w:color="auto"/>
              <w:bottom w:val="single" w:sz="4" w:space="0" w:color="auto"/>
              <w:right w:val="single" w:sz="4" w:space="0" w:color="auto"/>
            </w:tcBorders>
          </w:tcPr>
          <w:p w:rsidR="0057103D" w:rsidRPr="00971901" w:rsidRDefault="0057103D" w:rsidP="0057103D">
            <w:pPr>
              <w:spacing w:before="280" w:line="240" w:lineRule="auto"/>
              <w:outlineLvl w:val="0"/>
              <w:rPr>
                <w:sz w:val="18"/>
                <w:szCs w:val="18"/>
              </w:rPr>
            </w:pPr>
          </w:p>
        </w:tc>
      </w:tr>
    </w:tbl>
    <w:p w:rsidR="00487085" w:rsidRPr="00E80CCE" w:rsidRDefault="00487085">
      <w:pPr>
        <w:rPr>
          <w:sz w:val="18"/>
          <w:szCs w:val="18"/>
        </w:rPr>
      </w:pPr>
    </w:p>
    <w:p w:rsidR="00CD1278" w:rsidRPr="009E5A15" w:rsidRDefault="00CD1278">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4768"/>
        <w:gridCol w:w="4745"/>
      </w:tblGrid>
      <w:tr w:rsidR="00867F6D" w:rsidRPr="005D0135" w:rsidTr="003E4FCD">
        <w:tc>
          <w:tcPr>
            <w:tcW w:w="4657" w:type="dxa"/>
            <w:shd w:val="clear" w:color="auto" w:fill="auto"/>
          </w:tcPr>
          <w:p w:rsidR="00867F6D" w:rsidRPr="005A43ED" w:rsidRDefault="00867F6D" w:rsidP="005A43ED">
            <w:pPr>
              <w:pStyle w:val="ParagraphRandtitel"/>
              <w:tabs>
                <w:tab w:val="left" w:pos="2019"/>
              </w:tabs>
              <w:rPr>
                <w:b w:val="0"/>
              </w:rPr>
            </w:pPr>
          </w:p>
          <w:p w:rsidR="00867F6D" w:rsidRPr="005A43ED" w:rsidRDefault="00867F6D" w:rsidP="002A567C">
            <w:pPr>
              <w:spacing w:line="240" w:lineRule="auto"/>
              <w:rPr>
                <w:sz w:val="17"/>
                <w:szCs w:val="17"/>
                <w:lang w:eastAsia="de-CH"/>
              </w:rPr>
            </w:pPr>
          </w:p>
        </w:tc>
        <w:tc>
          <w:tcPr>
            <w:tcW w:w="4768" w:type="dxa"/>
            <w:shd w:val="clear" w:color="auto" w:fill="auto"/>
          </w:tcPr>
          <w:p w:rsidR="00867F6D" w:rsidRPr="005A43ED" w:rsidRDefault="005A43ED" w:rsidP="005A43ED">
            <w:pPr>
              <w:tabs>
                <w:tab w:val="left" w:pos="2704"/>
              </w:tabs>
              <w:spacing w:before="280" w:line="240" w:lineRule="auto"/>
              <w:outlineLvl w:val="0"/>
              <w:rPr>
                <w:b/>
                <w:sz w:val="17"/>
                <w:szCs w:val="17"/>
              </w:rPr>
            </w:pPr>
            <w:r w:rsidRPr="005A43ED">
              <w:rPr>
                <w:b/>
                <w:sz w:val="17"/>
                <w:szCs w:val="17"/>
              </w:rPr>
              <w:t>II.</w:t>
            </w:r>
          </w:p>
          <w:p w:rsidR="004D32A9" w:rsidRPr="004D32A9" w:rsidRDefault="004D32A9" w:rsidP="004D32A9">
            <w:pPr>
              <w:tabs>
                <w:tab w:val="left" w:pos="1077"/>
                <w:tab w:val="left" w:pos="1418"/>
              </w:tabs>
              <w:spacing w:before="170" w:line="240" w:lineRule="auto"/>
              <w:jc w:val="both"/>
              <w:rPr>
                <w:spacing w:val="0"/>
                <w:sz w:val="17"/>
                <w:szCs w:val="20"/>
                <w:lang w:eastAsia="de-CH"/>
              </w:rPr>
            </w:pPr>
            <w:r w:rsidRPr="004D32A9">
              <w:rPr>
                <w:spacing w:val="0"/>
                <w:sz w:val="17"/>
                <w:szCs w:val="20"/>
                <w:vertAlign w:val="superscript"/>
                <w:lang w:eastAsia="de-CH"/>
              </w:rPr>
              <w:t>1</w:t>
            </w:r>
            <w:r w:rsidRPr="004D32A9">
              <w:rPr>
                <w:spacing w:val="0"/>
                <w:sz w:val="17"/>
                <w:szCs w:val="20"/>
                <w:lang w:eastAsia="de-CH"/>
              </w:rPr>
              <w:t> Dieses Gesetz unterliegt dem Referendum gemäss §§ 34 oder 35 der Kantonsverfassung.</w:t>
            </w:r>
          </w:p>
          <w:p w:rsidR="004D32A9" w:rsidRPr="004D32A9" w:rsidRDefault="004D32A9" w:rsidP="004D32A9">
            <w:pPr>
              <w:spacing w:line="240" w:lineRule="auto"/>
              <w:jc w:val="both"/>
              <w:rPr>
                <w:spacing w:val="0"/>
                <w:sz w:val="17"/>
                <w:szCs w:val="20"/>
                <w:lang w:eastAsia="de-CH"/>
              </w:rPr>
            </w:pPr>
            <w:r w:rsidRPr="004D32A9">
              <w:rPr>
                <w:spacing w:val="0"/>
                <w:sz w:val="17"/>
                <w:szCs w:val="20"/>
                <w:vertAlign w:val="superscript"/>
                <w:lang w:eastAsia="de-CH"/>
              </w:rPr>
              <w:t>2</w:t>
            </w:r>
            <w:r w:rsidRPr="004D32A9">
              <w:rPr>
                <w:spacing w:val="0"/>
                <w:sz w:val="17"/>
                <w:szCs w:val="20"/>
                <w:lang w:eastAsia="de-CH"/>
              </w:rPr>
              <w:t> Es wird im Amtsblatt veröffentlicht und nach Inkrafttreten in die Gesetzsammlung aufgenommen.</w:t>
            </w:r>
          </w:p>
          <w:p w:rsidR="004D32A9" w:rsidRDefault="004D32A9" w:rsidP="004D32A9">
            <w:pPr>
              <w:spacing w:line="240" w:lineRule="auto"/>
              <w:jc w:val="both"/>
              <w:rPr>
                <w:spacing w:val="0"/>
                <w:sz w:val="17"/>
                <w:szCs w:val="20"/>
                <w:lang w:eastAsia="de-CH"/>
              </w:rPr>
            </w:pPr>
            <w:r w:rsidRPr="004D32A9">
              <w:rPr>
                <w:spacing w:val="0"/>
                <w:sz w:val="17"/>
                <w:szCs w:val="20"/>
                <w:vertAlign w:val="superscript"/>
                <w:lang w:eastAsia="de-CH"/>
              </w:rPr>
              <w:t>3</w:t>
            </w:r>
            <w:r w:rsidRPr="004D32A9">
              <w:rPr>
                <w:spacing w:val="0"/>
                <w:sz w:val="17"/>
                <w:szCs w:val="20"/>
                <w:lang w:eastAsia="de-CH"/>
              </w:rPr>
              <w:t> Der Regierungsrat w</w:t>
            </w:r>
            <w:r w:rsidR="00722F79">
              <w:rPr>
                <w:spacing w:val="0"/>
                <w:sz w:val="17"/>
                <w:szCs w:val="20"/>
                <w:lang w:eastAsia="de-CH"/>
              </w:rPr>
              <w:t>ird mit dem Vollzug beauftragt.</w:t>
            </w:r>
          </w:p>
          <w:p w:rsidR="00604A77" w:rsidRPr="004D32A9" w:rsidRDefault="00604A77">
            <w:pPr>
              <w:spacing w:line="240" w:lineRule="auto"/>
              <w:jc w:val="both"/>
              <w:rPr>
                <w:spacing w:val="0"/>
                <w:sz w:val="17"/>
                <w:szCs w:val="20"/>
                <w:lang w:eastAsia="de-CH"/>
              </w:rPr>
            </w:pPr>
          </w:p>
          <w:p w:rsidR="00867F6D" w:rsidRPr="005A43ED" w:rsidRDefault="00867F6D" w:rsidP="003E4FCD">
            <w:pPr>
              <w:tabs>
                <w:tab w:val="left" w:pos="2704"/>
              </w:tabs>
              <w:spacing w:line="240" w:lineRule="auto"/>
              <w:jc w:val="both"/>
              <w:outlineLvl w:val="0"/>
              <w:rPr>
                <w:sz w:val="17"/>
                <w:szCs w:val="17"/>
              </w:rPr>
            </w:pPr>
          </w:p>
        </w:tc>
        <w:tc>
          <w:tcPr>
            <w:tcW w:w="4745" w:type="dxa"/>
            <w:shd w:val="clear" w:color="auto" w:fill="auto"/>
          </w:tcPr>
          <w:p w:rsidR="00867F6D" w:rsidRPr="005D0135" w:rsidRDefault="00867F6D" w:rsidP="002A567C">
            <w:pPr>
              <w:spacing w:before="280" w:line="240" w:lineRule="auto"/>
              <w:outlineLvl w:val="0"/>
              <w:rPr>
                <w:color w:val="00B050"/>
                <w:sz w:val="18"/>
                <w:szCs w:val="18"/>
              </w:rPr>
            </w:pPr>
          </w:p>
        </w:tc>
      </w:tr>
    </w:tbl>
    <w:p w:rsidR="004D32A9" w:rsidRDefault="004D32A9">
      <w:pPr>
        <w:rPr>
          <w:sz w:val="18"/>
          <w:szCs w:val="18"/>
        </w:rPr>
      </w:pPr>
    </w:p>
    <w:p w:rsidR="00604A77" w:rsidRPr="005A43ED" w:rsidRDefault="00604A77" w:rsidP="003E4FCD">
      <w:pPr>
        <w:spacing w:line="240" w:lineRule="auto"/>
        <w:rPr>
          <w:sz w:val="18"/>
          <w:szCs w:val="18"/>
        </w:rPr>
      </w:pPr>
    </w:p>
    <w:sectPr w:rsidR="00604A77" w:rsidRPr="005A43ED" w:rsidSect="00DC6DD5">
      <w:footerReference w:type="even" r:id="rId9"/>
      <w:footerReference w:type="default" r:id="rId10"/>
      <w:pgSz w:w="16840" w:h="11907" w:orient="landscape" w:code="9"/>
      <w:pgMar w:top="1418" w:right="1418"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23" w:rsidRDefault="00827623">
      <w:r>
        <w:separator/>
      </w:r>
    </w:p>
  </w:endnote>
  <w:endnote w:type="continuationSeparator" w:id="0">
    <w:p w:rsidR="00827623" w:rsidRDefault="00827623">
      <w:r>
        <w:continuationSeparator/>
      </w:r>
    </w:p>
  </w:endnote>
  <w:endnote w:id="1">
    <w:p w:rsidR="00232BF7" w:rsidRPr="00886F43" w:rsidRDefault="00232BF7" w:rsidP="00232BF7">
      <w:pPr>
        <w:pStyle w:val="Endnotentext"/>
        <w:rPr>
          <w:szCs w:val="14"/>
        </w:rPr>
      </w:pPr>
      <w:r w:rsidRPr="00886F43">
        <w:rPr>
          <w:rStyle w:val="Endnotenzeichen"/>
          <w:szCs w:val="14"/>
        </w:rPr>
        <w:endnoteRef/>
      </w:r>
      <w:r w:rsidRPr="00886F43">
        <w:rPr>
          <w:szCs w:val="14"/>
        </w:rPr>
        <w:t xml:space="preserve"> SR 221.213.221.</w:t>
      </w:r>
    </w:p>
  </w:endnote>
  <w:endnote w:id="2">
    <w:p w:rsidR="00232BF7" w:rsidRDefault="00232BF7" w:rsidP="00232BF7">
      <w:pPr>
        <w:pStyle w:val="Endnotentext"/>
      </w:pPr>
      <w:r w:rsidRPr="00886F43">
        <w:rPr>
          <w:rStyle w:val="Endnotenzeichen"/>
          <w:szCs w:val="14"/>
        </w:rPr>
        <w:endnoteRef/>
      </w:r>
      <w:r w:rsidRPr="00886F43">
        <w:rPr>
          <w:szCs w:val="14"/>
        </w:rPr>
        <w:t xml:space="preserve"> SR 211.412.110.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i">
    <w:charset w:val="00"/>
    <w:family w:val="swiss"/>
    <w:pitch w:val="variable"/>
    <w:sig w:usb0="00200003" w:usb1="00000000" w:usb2="00000000" w:usb3="00000000" w:csb0="00000001" w:csb1="00000000"/>
  </w:font>
  <w:font w:name="TradeGothic">
    <w:altName w:val="Trade Gothic LT Pro"/>
    <w:panose1 w:val="020B0503040303020204"/>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43" w:usb2="00000009" w:usb3="00000000" w:csb0="000001FF" w:csb1="00000000"/>
  </w:font>
  <w:font w:name="TradeGothic Light">
    <w:panose1 w:val="020B0403040303020204"/>
    <w:charset w:val="00"/>
    <w:family w:val="swiss"/>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Pro">
    <w:altName w:val="TradeGothic"/>
    <w:panose1 w:val="020B0503040303020004"/>
    <w:charset w:val="00"/>
    <w:family w:val="swiss"/>
    <w:pitch w:val="variable"/>
    <w:sig w:usb0="A0000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5" w:rsidRDefault="00D76055" w:rsidP="0083294E">
    <w:pPr>
      <w:pStyle w:val="Fuzeile"/>
      <w:framePr w:wrap="around" w:hAnchor="margin" w:xAlign="right"/>
      <w:rPr>
        <w:rStyle w:val="Seitenzahl"/>
      </w:rPr>
    </w:pPr>
    <w:r>
      <w:rPr>
        <w:rStyle w:val="Seitenzahl"/>
      </w:rPr>
      <w:fldChar w:fldCharType="begin"/>
    </w:r>
    <w:r>
      <w:rPr>
        <w:rStyle w:val="Seitenzahl"/>
      </w:rPr>
      <w:instrText xml:space="preserve">PAGE  </w:instrText>
    </w:r>
    <w:r>
      <w:rPr>
        <w:rStyle w:val="Seitenzahl"/>
      </w:rPr>
      <w:fldChar w:fldCharType="end"/>
    </w:r>
  </w:p>
  <w:p w:rsidR="00D76055" w:rsidRDefault="00D76055" w:rsidP="005A2676">
    <w:pPr>
      <w:pStyle w:val="Fuzeile"/>
      <w:framePr w:wrap="notBesid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5" w:rsidRPr="00FD354F" w:rsidRDefault="00D76055" w:rsidP="00FD354F">
    <w:pPr>
      <w:pStyle w:val="Fuzeile"/>
      <w:framePr w:wrap="notBeside"/>
      <w:jc w:val="center"/>
      <w:rPr>
        <w:sz w:val="16"/>
        <w:szCs w:val="16"/>
      </w:rPr>
    </w:pPr>
    <w:r w:rsidRPr="00FD354F">
      <w:rPr>
        <w:sz w:val="16"/>
        <w:szCs w:val="16"/>
        <w:lang w:val="de-DE"/>
      </w:rPr>
      <w:t xml:space="preserve">Seite </w:t>
    </w:r>
    <w:r w:rsidRPr="00FD354F">
      <w:rPr>
        <w:b/>
        <w:bCs/>
        <w:sz w:val="16"/>
        <w:szCs w:val="16"/>
      </w:rPr>
      <w:fldChar w:fldCharType="begin"/>
    </w:r>
    <w:r w:rsidRPr="00FD354F">
      <w:rPr>
        <w:b/>
        <w:bCs/>
        <w:sz w:val="16"/>
        <w:szCs w:val="16"/>
      </w:rPr>
      <w:instrText>PAGE</w:instrText>
    </w:r>
    <w:r w:rsidRPr="00FD354F">
      <w:rPr>
        <w:b/>
        <w:bCs/>
        <w:sz w:val="16"/>
        <w:szCs w:val="16"/>
      </w:rPr>
      <w:fldChar w:fldCharType="separate"/>
    </w:r>
    <w:r w:rsidR="00EC7684">
      <w:rPr>
        <w:b/>
        <w:bCs/>
        <w:noProof/>
        <w:sz w:val="16"/>
        <w:szCs w:val="16"/>
      </w:rPr>
      <w:t>6</w:t>
    </w:r>
    <w:r w:rsidRPr="00FD354F">
      <w:rPr>
        <w:b/>
        <w:bCs/>
        <w:sz w:val="16"/>
        <w:szCs w:val="16"/>
      </w:rPr>
      <w:fldChar w:fldCharType="end"/>
    </w:r>
    <w:r w:rsidRPr="00FD354F">
      <w:rPr>
        <w:sz w:val="16"/>
        <w:szCs w:val="16"/>
        <w:lang w:val="de-DE"/>
      </w:rPr>
      <w:t xml:space="preserve"> von </w:t>
    </w:r>
    <w:r w:rsidRPr="00FD354F">
      <w:rPr>
        <w:b/>
        <w:bCs/>
        <w:sz w:val="16"/>
        <w:szCs w:val="16"/>
      </w:rPr>
      <w:fldChar w:fldCharType="begin"/>
    </w:r>
    <w:r w:rsidRPr="00FD354F">
      <w:rPr>
        <w:b/>
        <w:bCs/>
        <w:sz w:val="16"/>
        <w:szCs w:val="16"/>
      </w:rPr>
      <w:instrText>NUMPAGES</w:instrText>
    </w:r>
    <w:r w:rsidRPr="00FD354F">
      <w:rPr>
        <w:b/>
        <w:bCs/>
        <w:sz w:val="16"/>
        <w:szCs w:val="16"/>
      </w:rPr>
      <w:fldChar w:fldCharType="separate"/>
    </w:r>
    <w:r w:rsidR="00EC7684">
      <w:rPr>
        <w:b/>
        <w:bCs/>
        <w:noProof/>
        <w:sz w:val="16"/>
        <w:szCs w:val="16"/>
      </w:rPr>
      <w:t>6</w:t>
    </w:r>
    <w:r w:rsidRPr="00FD354F">
      <w:rPr>
        <w:b/>
        <w:bCs/>
        <w:sz w:val="16"/>
        <w:szCs w:val="16"/>
      </w:rPr>
      <w:fldChar w:fldCharType="end"/>
    </w:r>
  </w:p>
  <w:p w:rsidR="00D76055" w:rsidRDefault="00D76055" w:rsidP="005A2676">
    <w:pPr>
      <w:pStyle w:val="Fuzeile"/>
      <w:framePr w:wrap="notBesid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23" w:rsidRDefault="00827623">
      <w:r>
        <w:separator/>
      </w:r>
    </w:p>
  </w:footnote>
  <w:footnote w:type="continuationSeparator" w:id="0">
    <w:p w:rsidR="00827623" w:rsidRDefault="00827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94EE874"/>
    <w:lvl w:ilvl="0">
      <w:start w:val="1"/>
      <w:numFmt w:val="decimal"/>
      <w:isLgl/>
      <w:lvlText w:val="%1."/>
      <w:lvlJc w:val="left"/>
      <w:pPr>
        <w:tabs>
          <w:tab w:val="num" w:pos="348"/>
        </w:tabs>
        <w:ind w:left="348"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2663439"/>
    <w:multiLevelType w:val="hybridMultilevel"/>
    <w:tmpl w:val="6AAA5D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916F6A"/>
    <w:multiLevelType w:val="hybridMultilevel"/>
    <w:tmpl w:val="EA8ED0D8"/>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5A40CA0"/>
    <w:multiLevelType w:val="hybridMultilevel"/>
    <w:tmpl w:val="32F41072"/>
    <w:lvl w:ilvl="0" w:tplc="080C33FE">
      <w:start w:val="1"/>
      <w:numFmt w:val="bullet"/>
      <w:lvlText w:val=""/>
      <w:lvlJc w:val="left"/>
      <w:pPr>
        <w:tabs>
          <w:tab w:val="num" w:pos="170"/>
        </w:tabs>
        <w:ind w:left="170" w:hanging="170"/>
      </w:pPr>
      <w:rPr>
        <w:rFonts w:ascii="Symbol" w:hAnsi="Symbol" w:hint="default"/>
        <w:b w:val="0"/>
        <w:i w:val="0"/>
        <w:position w:val="2"/>
        <w:sz w:val="16"/>
      </w:rPr>
    </w:lvl>
    <w:lvl w:ilvl="1" w:tplc="B7C0D460">
      <w:start w:val="1"/>
      <w:numFmt w:val="bullet"/>
      <w:lvlText w:val="o"/>
      <w:lvlJc w:val="left"/>
      <w:pPr>
        <w:tabs>
          <w:tab w:val="num" w:pos="340"/>
        </w:tabs>
        <w:ind w:left="340" w:hanging="170"/>
      </w:pPr>
      <w:rPr>
        <w:rFonts w:ascii="Courier New" w:hAnsi="Courier New" w:hint="default"/>
        <w:b w:val="0"/>
        <w:i w:val="0"/>
        <w:sz w:val="16"/>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4788A"/>
    <w:multiLevelType w:val="hybridMultilevel"/>
    <w:tmpl w:val="DE6ED83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06EE1522"/>
    <w:multiLevelType w:val="hybridMultilevel"/>
    <w:tmpl w:val="E9D67D50"/>
    <w:lvl w:ilvl="0" w:tplc="F80A543C">
      <w:start w:val="1"/>
      <w:numFmt w:val="bullet"/>
      <w:lvlText w:val="–"/>
      <w:lvlJc w:val="left"/>
      <w:pPr>
        <w:ind w:left="360" w:hanging="360"/>
      </w:pPr>
      <w:rPr>
        <w:rFonts w:ascii="Vani" w:hAnsi="Van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12446F3"/>
    <w:multiLevelType w:val="hybridMultilevel"/>
    <w:tmpl w:val="25B613A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1BEB3D14"/>
    <w:multiLevelType w:val="hybridMultilevel"/>
    <w:tmpl w:val="7B7CA08A"/>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231F1EC0"/>
    <w:multiLevelType w:val="hybridMultilevel"/>
    <w:tmpl w:val="76087F2C"/>
    <w:lvl w:ilvl="0" w:tplc="185E3122">
      <w:numFmt w:val="bullet"/>
      <w:lvlText w:val="-"/>
      <w:lvlJc w:val="left"/>
      <w:pPr>
        <w:tabs>
          <w:tab w:val="num" w:pos="720"/>
        </w:tabs>
        <w:ind w:left="720" w:hanging="360"/>
      </w:pPr>
      <w:rPr>
        <w:rFonts w:ascii="TradeGothic" w:eastAsia="Times New Roman" w:hAnsi="TradeGothic"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07CC3"/>
    <w:multiLevelType w:val="hybridMultilevel"/>
    <w:tmpl w:val="528E7408"/>
    <w:lvl w:ilvl="0" w:tplc="08070017">
      <w:start w:val="1"/>
      <w:numFmt w:val="lowerLetter"/>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0" w15:restartNumberingAfterBreak="0">
    <w:nsid w:val="2C9205CA"/>
    <w:multiLevelType w:val="hybridMultilevel"/>
    <w:tmpl w:val="E1AC48EC"/>
    <w:lvl w:ilvl="0" w:tplc="E488C616">
      <w:start w:val="1"/>
      <w:numFmt w:val="bullet"/>
      <w:lvlText w:val="-"/>
      <w:lvlJc w:val="left"/>
      <w:pPr>
        <w:ind w:left="720" w:hanging="360"/>
      </w:pPr>
      <w:rPr>
        <w:rFonts w:ascii="TradeGothic" w:eastAsia="Times New Roman" w:hAnsi="TradeGothic" w:cs="Times New Roman"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C946C88"/>
    <w:multiLevelType w:val="hybridMultilevel"/>
    <w:tmpl w:val="E23E03A8"/>
    <w:lvl w:ilvl="0" w:tplc="08070017">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396346A1"/>
    <w:multiLevelType w:val="hybridMultilevel"/>
    <w:tmpl w:val="8A148A6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0647C"/>
    <w:multiLevelType w:val="hybridMultilevel"/>
    <w:tmpl w:val="6C7C5340"/>
    <w:lvl w:ilvl="0" w:tplc="08070017">
      <w:start w:val="1"/>
      <w:numFmt w:val="lowerLetter"/>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4" w15:restartNumberingAfterBreak="0">
    <w:nsid w:val="3E4B797D"/>
    <w:multiLevelType w:val="hybridMultilevel"/>
    <w:tmpl w:val="E63E8588"/>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406D5DF1"/>
    <w:multiLevelType w:val="hybridMultilevel"/>
    <w:tmpl w:val="19E6DF90"/>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0C87E6E"/>
    <w:multiLevelType w:val="hybridMultilevel"/>
    <w:tmpl w:val="096CB690"/>
    <w:lvl w:ilvl="0" w:tplc="5B8CA6AE">
      <w:numFmt w:val="bullet"/>
      <w:lvlText w:val="•"/>
      <w:lvlJc w:val="left"/>
      <w:pPr>
        <w:ind w:left="1068" w:hanging="708"/>
      </w:pPr>
      <w:rPr>
        <w:rFonts w:ascii="TradeGothic" w:eastAsia="Times New Roman" w:hAnsi="TradeGothic"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3D58C3"/>
    <w:multiLevelType w:val="hybridMultilevel"/>
    <w:tmpl w:val="13CA7AF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C6C1CDB"/>
    <w:multiLevelType w:val="hybridMultilevel"/>
    <w:tmpl w:val="7592EFD8"/>
    <w:lvl w:ilvl="0" w:tplc="579C9346">
      <w:numFmt w:val="bullet"/>
      <w:lvlText w:val="•"/>
      <w:lvlJc w:val="left"/>
      <w:pPr>
        <w:ind w:left="1068" w:hanging="708"/>
      </w:pPr>
      <w:rPr>
        <w:rFonts w:ascii="TradeGothic" w:eastAsia="Times New Roman" w:hAnsi="TradeGothic"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D545EBF"/>
    <w:multiLevelType w:val="hybridMultilevel"/>
    <w:tmpl w:val="1FE4D440"/>
    <w:lvl w:ilvl="0" w:tplc="F80A543C">
      <w:start w:val="1"/>
      <w:numFmt w:val="bullet"/>
      <w:lvlText w:val="–"/>
      <w:lvlJc w:val="left"/>
      <w:pPr>
        <w:ind w:left="360" w:hanging="360"/>
      </w:pPr>
      <w:rPr>
        <w:rFonts w:ascii="Vani" w:hAnsi="Van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E6C400A"/>
    <w:multiLevelType w:val="hybridMultilevel"/>
    <w:tmpl w:val="1AEC3C7C"/>
    <w:lvl w:ilvl="0" w:tplc="190090A6">
      <w:start w:val="1"/>
      <w:numFmt w:val="upperRoman"/>
      <w:pStyle w:val="Zwischentite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52E56409"/>
    <w:multiLevelType w:val="hybridMultilevel"/>
    <w:tmpl w:val="0540CFF2"/>
    <w:lvl w:ilvl="0" w:tplc="C5D06542">
      <w:start w:val="1"/>
      <w:numFmt w:val="bullet"/>
      <w:lvlText w:val="–"/>
      <w:lvlJc w:val="left"/>
      <w:pPr>
        <w:tabs>
          <w:tab w:val="num" w:pos="720"/>
        </w:tabs>
        <w:ind w:left="720" w:hanging="360"/>
      </w:pPr>
      <w:rPr>
        <w:rFonts w:ascii="Vani" w:hAnsi="Vani"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65C30"/>
    <w:multiLevelType w:val="hybridMultilevel"/>
    <w:tmpl w:val="8B941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7663B6C"/>
    <w:multiLevelType w:val="hybridMultilevel"/>
    <w:tmpl w:val="9EEC303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595E3A8F"/>
    <w:multiLevelType w:val="hybridMultilevel"/>
    <w:tmpl w:val="A502DD42"/>
    <w:lvl w:ilvl="0" w:tplc="C5D06542">
      <w:start w:val="1"/>
      <w:numFmt w:val="bullet"/>
      <w:lvlText w:val="–"/>
      <w:lvlJc w:val="left"/>
      <w:pPr>
        <w:tabs>
          <w:tab w:val="num" w:pos="720"/>
        </w:tabs>
        <w:ind w:left="720" w:hanging="360"/>
      </w:pPr>
      <w:rPr>
        <w:rFonts w:ascii="Vani" w:hAnsi="Vani"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F5657"/>
    <w:multiLevelType w:val="hybridMultilevel"/>
    <w:tmpl w:val="B45EEDA4"/>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0283A0A"/>
    <w:multiLevelType w:val="multilevel"/>
    <w:tmpl w:val="DA6C0DC4"/>
    <w:lvl w:ilvl="0">
      <w:start w:val="1"/>
      <w:numFmt w:val="decimal"/>
      <w:pStyle w:val="berschrift1"/>
      <w:lvlText w:val="%1"/>
      <w:lvlJc w:val="left"/>
      <w:pPr>
        <w:tabs>
          <w:tab w:val="num" w:pos="0"/>
        </w:tabs>
        <w:ind w:left="0" w:firstLine="0"/>
      </w:pPr>
      <w:rPr>
        <w:rFonts w:hint="default"/>
        <w:b/>
        <w:i w:val="0"/>
        <w:caps w:val="0"/>
        <w:strike w:val="0"/>
        <w:dstrike w:val="0"/>
        <w:vanish w:val="0"/>
        <w:color w:val="000000"/>
        <w:sz w:val="2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0" w:firstLine="0"/>
      </w:pPr>
      <w:rPr>
        <w:rFonts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0"/>
        </w:tabs>
        <w:ind w:left="0" w:firstLine="0"/>
      </w:pPr>
      <w:rPr>
        <w:rFonts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erschrift4"/>
      <w:lvlText w:val="%4)"/>
      <w:lvlJc w:val="left"/>
      <w:pPr>
        <w:tabs>
          <w:tab w:val="num" w:pos="0"/>
        </w:tabs>
        <w:ind w:left="0" w:firstLine="0"/>
      </w:pPr>
      <w:rPr>
        <w:rFonts w:hint="default"/>
        <w:b w:val="0"/>
        <w:i/>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b w:val="0"/>
        <w:i/>
        <w:sz w:val="20"/>
      </w:rPr>
    </w:lvl>
  </w:abstractNum>
  <w:abstractNum w:abstractNumId="27" w15:restartNumberingAfterBreak="0">
    <w:nsid w:val="620A61EE"/>
    <w:multiLevelType w:val="hybridMultilevel"/>
    <w:tmpl w:val="4230940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52606"/>
    <w:multiLevelType w:val="hybridMultilevel"/>
    <w:tmpl w:val="E530E548"/>
    <w:lvl w:ilvl="0" w:tplc="C5D06542">
      <w:start w:val="1"/>
      <w:numFmt w:val="bullet"/>
      <w:lvlText w:val="–"/>
      <w:lvlJc w:val="left"/>
      <w:pPr>
        <w:tabs>
          <w:tab w:val="num" w:pos="720"/>
        </w:tabs>
        <w:ind w:left="720" w:hanging="360"/>
      </w:pPr>
      <w:rPr>
        <w:rFonts w:ascii="Vani" w:hAnsi="Vani"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676C95"/>
    <w:multiLevelType w:val="hybridMultilevel"/>
    <w:tmpl w:val="C6A2C54E"/>
    <w:lvl w:ilvl="0" w:tplc="F80A543C">
      <w:start w:val="1"/>
      <w:numFmt w:val="bullet"/>
      <w:lvlText w:val="–"/>
      <w:lvlJc w:val="left"/>
      <w:pPr>
        <w:ind w:left="720" w:hanging="360"/>
      </w:pPr>
      <w:rPr>
        <w:rFonts w:ascii="Vani" w:hAnsi="Van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5EF1224"/>
    <w:multiLevelType w:val="hybridMultilevel"/>
    <w:tmpl w:val="48ECF03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9C9770C"/>
    <w:multiLevelType w:val="hybridMultilevel"/>
    <w:tmpl w:val="90B60CC6"/>
    <w:lvl w:ilvl="0" w:tplc="185E3122">
      <w:numFmt w:val="bullet"/>
      <w:lvlText w:val="-"/>
      <w:lvlJc w:val="left"/>
      <w:pPr>
        <w:tabs>
          <w:tab w:val="num" w:pos="720"/>
        </w:tabs>
        <w:ind w:left="720" w:hanging="360"/>
      </w:pPr>
      <w:rPr>
        <w:rFonts w:ascii="TradeGothic" w:eastAsia="Times New Roman" w:hAnsi="TradeGothic"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57D66"/>
    <w:multiLevelType w:val="hybridMultilevel"/>
    <w:tmpl w:val="11D201B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26"/>
  </w:num>
  <w:num w:numId="4">
    <w:abstractNumId w:val="8"/>
  </w:num>
  <w:num w:numId="5">
    <w:abstractNumId w:val="9"/>
  </w:num>
  <w:num w:numId="6">
    <w:abstractNumId w:val="13"/>
  </w:num>
  <w:num w:numId="7">
    <w:abstractNumId w:val="3"/>
  </w:num>
  <w:num w:numId="8">
    <w:abstractNumId w:val="25"/>
  </w:num>
  <w:num w:numId="9">
    <w:abstractNumId w:val="23"/>
  </w:num>
  <w:num w:numId="10">
    <w:abstractNumId w:val="6"/>
  </w:num>
  <w:num w:numId="11">
    <w:abstractNumId w:val="31"/>
  </w:num>
  <w:num w:numId="12">
    <w:abstractNumId w:val="11"/>
  </w:num>
  <w:num w:numId="13">
    <w:abstractNumId w:val="15"/>
  </w:num>
  <w:num w:numId="14">
    <w:abstractNumId w:val="27"/>
  </w:num>
  <w:num w:numId="15">
    <w:abstractNumId w:val="12"/>
  </w:num>
  <w:num w:numId="16">
    <w:abstractNumId w:val="7"/>
  </w:num>
  <w:num w:numId="17">
    <w:abstractNumId w:val="21"/>
  </w:num>
  <w:num w:numId="18">
    <w:abstractNumId w:val="0"/>
  </w:num>
  <w:num w:numId="19">
    <w:abstractNumId w:val="32"/>
  </w:num>
  <w:num w:numId="20">
    <w:abstractNumId w:val="24"/>
  </w:num>
  <w:num w:numId="21">
    <w:abstractNumId w:val="28"/>
  </w:num>
  <w:num w:numId="22">
    <w:abstractNumId w:val="4"/>
  </w:num>
  <w:num w:numId="23">
    <w:abstractNumId w:val="14"/>
  </w:num>
  <w:num w:numId="24">
    <w:abstractNumId w:val="2"/>
  </w:num>
  <w:num w:numId="25">
    <w:abstractNumId w:val="1"/>
  </w:num>
  <w:num w:numId="26">
    <w:abstractNumId w:val="10"/>
  </w:num>
  <w:num w:numId="27">
    <w:abstractNumId w:val="22"/>
  </w:num>
  <w:num w:numId="28">
    <w:abstractNumId w:val="30"/>
  </w:num>
  <w:num w:numId="29">
    <w:abstractNumId w:val="18"/>
  </w:num>
  <w:num w:numId="30">
    <w:abstractNumId w:val="19"/>
  </w:num>
  <w:num w:numId="31">
    <w:abstractNumId w:val="17"/>
  </w:num>
  <w:num w:numId="32">
    <w:abstractNumId w:val="5"/>
  </w:num>
  <w:num w:numId="33">
    <w:abstractNumId w:val="16"/>
  </w:num>
  <w:num w:numId="3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4D"/>
    <w:rsid w:val="000021CE"/>
    <w:rsid w:val="00002896"/>
    <w:rsid w:val="00004F2E"/>
    <w:rsid w:val="00006414"/>
    <w:rsid w:val="00007519"/>
    <w:rsid w:val="0001296B"/>
    <w:rsid w:val="00015DBB"/>
    <w:rsid w:val="0001742B"/>
    <w:rsid w:val="00021381"/>
    <w:rsid w:val="00021FC2"/>
    <w:rsid w:val="00023206"/>
    <w:rsid w:val="0002324B"/>
    <w:rsid w:val="00023C40"/>
    <w:rsid w:val="00025A89"/>
    <w:rsid w:val="00026B05"/>
    <w:rsid w:val="0003021B"/>
    <w:rsid w:val="00030971"/>
    <w:rsid w:val="00033F43"/>
    <w:rsid w:val="00034CD0"/>
    <w:rsid w:val="00041C7B"/>
    <w:rsid w:val="00050769"/>
    <w:rsid w:val="0005229A"/>
    <w:rsid w:val="00061386"/>
    <w:rsid w:val="00064EE3"/>
    <w:rsid w:val="00067668"/>
    <w:rsid w:val="00071D5E"/>
    <w:rsid w:val="000742D2"/>
    <w:rsid w:val="000752FC"/>
    <w:rsid w:val="00076B35"/>
    <w:rsid w:val="000806CC"/>
    <w:rsid w:val="000815FC"/>
    <w:rsid w:val="00082B0F"/>
    <w:rsid w:val="00085B49"/>
    <w:rsid w:val="000901C8"/>
    <w:rsid w:val="00097481"/>
    <w:rsid w:val="000A5610"/>
    <w:rsid w:val="000A56B5"/>
    <w:rsid w:val="000B0906"/>
    <w:rsid w:val="000B0C56"/>
    <w:rsid w:val="000B36CB"/>
    <w:rsid w:val="000B460A"/>
    <w:rsid w:val="000B6455"/>
    <w:rsid w:val="000C016F"/>
    <w:rsid w:val="000C2936"/>
    <w:rsid w:val="000C56CB"/>
    <w:rsid w:val="000C71E2"/>
    <w:rsid w:val="000D4261"/>
    <w:rsid w:val="000D5552"/>
    <w:rsid w:val="000E134F"/>
    <w:rsid w:val="000E27BC"/>
    <w:rsid w:val="000E3E10"/>
    <w:rsid w:val="000E40A4"/>
    <w:rsid w:val="000E5E65"/>
    <w:rsid w:val="000E7F9B"/>
    <w:rsid w:val="000F0903"/>
    <w:rsid w:val="000F0F78"/>
    <w:rsid w:val="000F7D0B"/>
    <w:rsid w:val="0010520D"/>
    <w:rsid w:val="00105B76"/>
    <w:rsid w:val="00110D5A"/>
    <w:rsid w:val="00111E2B"/>
    <w:rsid w:val="00120559"/>
    <w:rsid w:val="00122E48"/>
    <w:rsid w:val="00122F7B"/>
    <w:rsid w:val="001242A0"/>
    <w:rsid w:val="001259C0"/>
    <w:rsid w:val="00125B22"/>
    <w:rsid w:val="001306E4"/>
    <w:rsid w:val="00131697"/>
    <w:rsid w:val="00132574"/>
    <w:rsid w:val="00132F16"/>
    <w:rsid w:val="001374DE"/>
    <w:rsid w:val="00137ABD"/>
    <w:rsid w:val="00141D15"/>
    <w:rsid w:val="00142455"/>
    <w:rsid w:val="00143354"/>
    <w:rsid w:val="001433E8"/>
    <w:rsid w:val="00144F88"/>
    <w:rsid w:val="00152D53"/>
    <w:rsid w:val="00153558"/>
    <w:rsid w:val="001539BE"/>
    <w:rsid w:val="00153DCD"/>
    <w:rsid w:val="00163CAA"/>
    <w:rsid w:val="0017504F"/>
    <w:rsid w:val="001824A9"/>
    <w:rsid w:val="001832BF"/>
    <w:rsid w:val="00183343"/>
    <w:rsid w:val="00187F81"/>
    <w:rsid w:val="0019188C"/>
    <w:rsid w:val="001A134A"/>
    <w:rsid w:val="001A1473"/>
    <w:rsid w:val="001A19C0"/>
    <w:rsid w:val="001A6C87"/>
    <w:rsid w:val="001B3CC5"/>
    <w:rsid w:val="001B4DDF"/>
    <w:rsid w:val="001B59D5"/>
    <w:rsid w:val="001B7EBD"/>
    <w:rsid w:val="001C109F"/>
    <w:rsid w:val="001D46C5"/>
    <w:rsid w:val="001D575A"/>
    <w:rsid w:val="001E2635"/>
    <w:rsid w:val="001E2B62"/>
    <w:rsid w:val="001F065C"/>
    <w:rsid w:val="001F3871"/>
    <w:rsid w:val="001F6760"/>
    <w:rsid w:val="00201998"/>
    <w:rsid w:val="002060DE"/>
    <w:rsid w:val="00206844"/>
    <w:rsid w:val="00207553"/>
    <w:rsid w:val="00212683"/>
    <w:rsid w:val="00213CF0"/>
    <w:rsid w:val="00214211"/>
    <w:rsid w:val="00220A56"/>
    <w:rsid w:val="00222D2F"/>
    <w:rsid w:val="002238D8"/>
    <w:rsid w:val="0022687F"/>
    <w:rsid w:val="00227477"/>
    <w:rsid w:val="00232BF7"/>
    <w:rsid w:val="0024100E"/>
    <w:rsid w:val="002438A1"/>
    <w:rsid w:val="00252FF2"/>
    <w:rsid w:val="002530CC"/>
    <w:rsid w:val="0025434D"/>
    <w:rsid w:val="00256580"/>
    <w:rsid w:val="00262D30"/>
    <w:rsid w:val="002656B2"/>
    <w:rsid w:val="0026613C"/>
    <w:rsid w:val="00270370"/>
    <w:rsid w:val="00271813"/>
    <w:rsid w:val="00274196"/>
    <w:rsid w:val="0028238D"/>
    <w:rsid w:val="00282E8B"/>
    <w:rsid w:val="00284806"/>
    <w:rsid w:val="00284937"/>
    <w:rsid w:val="002851B9"/>
    <w:rsid w:val="00286C0A"/>
    <w:rsid w:val="00294779"/>
    <w:rsid w:val="002A136A"/>
    <w:rsid w:val="002A196E"/>
    <w:rsid w:val="002A25EA"/>
    <w:rsid w:val="002A28C0"/>
    <w:rsid w:val="002A4D30"/>
    <w:rsid w:val="002A567C"/>
    <w:rsid w:val="002A5F41"/>
    <w:rsid w:val="002A60D8"/>
    <w:rsid w:val="002A79FA"/>
    <w:rsid w:val="002B182C"/>
    <w:rsid w:val="002B50FC"/>
    <w:rsid w:val="002B5DA6"/>
    <w:rsid w:val="002B7607"/>
    <w:rsid w:val="002B7674"/>
    <w:rsid w:val="002B7C04"/>
    <w:rsid w:val="002C0DEA"/>
    <w:rsid w:val="002C11E3"/>
    <w:rsid w:val="002C1C14"/>
    <w:rsid w:val="002C2B57"/>
    <w:rsid w:val="002C4E2C"/>
    <w:rsid w:val="002C56C0"/>
    <w:rsid w:val="002C782D"/>
    <w:rsid w:val="002D2D8E"/>
    <w:rsid w:val="002D4C83"/>
    <w:rsid w:val="002D652F"/>
    <w:rsid w:val="002E0FE3"/>
    <w:rsid w:val="002F0200"/>
    <w:rsid w:val="002F1985"/>
    <w:rsid w:val="002F372F"/>
    <w:rsid w:val="002F494B"/>
    <w:rsid w:val="002F5A47"/>
    <w:rsid w:val="002F791D"/>
    <w:rsid w:val="00300DFE"/>
    <w:rsid w:val="00303251"/>
    <w:rsid w:val="00307D9C"/>
    <w:rsid w:val="003119EF"/>
    <w:rsid w:val="00313C42"/>
    <w:rsid w:val="00313D95"/>
    <w:rsid w:val="00314001"/>
    <w:rsid w:val="0032021E"/>
    <w:rsid w:val="00320292"/>
    <w:rsid w:val="00320ED2"/>
    <w:rsid w:val="00322E69"/>
    <w:rsid w:val="00324806"/>
    <w:rsid w:val="003265A6"/>
    <w:rsid w:val="00326E0A"/>
    <w:rsid w:val="00333940"/>
    <w:rsid w:val="003361AF"/>
    <w:rsid w:val="0033673D"/>
    <w:rsid w:val="00340DC1"/>
    <w:rsid w:val="00342AEE"/>
    <w:rsid w:val="00343352"/>
    <w:rsid w:val="003433FC"/>
    <w:rsid w:val="003461E9"/>
    <w:rsid w:val="003514EF"/>
    <w:rsid w:val="0035764D"/>
    <w:rsid w:val="00362115"/>
    <w:rsid w:val="00362150"/>
    <w:rsid w:val="00362BD1"/>
    <w:rsid w:val="00363210"/>
    <w:rsid w:val="003732C5"/>
    <w:rsid w:val="00374253"/>
    <w:rsid w:val="00375ED7"/>
    <w:rsid w:val="003769B5"/>
    <w:rsid w:val="0038053A"/>
    <w:rsid w:val="003829EA"/>
    <w:rsid w:val="00384F32"/>
    <w:rsid w:val="00385A09"/>
    <w:rsid w:val="00393593"/>
    <w:rsid w:val="00396D3F"/>
    <w:rsid w:val="00397D80"/>
    <w:rsid w:val="003A07FC"/>
    <w:rsid w:val="003A2E64"/>
    <w:rsid w:val="003A4E09"/>
    <w:rsid w:val="003A6AEB"/>
    <w:rsid w:val="003B03A2"/>
    <w:rsid w:val="003C13C3"/>
    <w:rsid w:val="003C1913"/>
    <w:rsid w:val="003C2146"/>
    <w:rsid w:val="003C4B03"/>
    <w:rsid w:val="003C4C7C"/>
    <w:rsid w:val="003C7219"/>
    <w:rsid w:val="003D08DF"/>
    <w:rsid w:val="003D1F7F"/>
    <w:rsid w:val="003D4888"/>
    <w:rsid w:val="003D500E"/>
    <w:rsid w:val="003E2A0B"/>
    <w:rsid w:val="003E39DA"/>
    <w:rsid w:val="003E4FCD"/>
    <w:rsid w:val="003E5BE3"/>
    <w:rsid w:val="003F52BE"/>
    <w:rsid w:val="003F682C"/>
    <w:rsid w:val="003F7A13"/>
    <w:rsid w:val="003F7F03"/>
    <w:rsid w:val="004061D8"/>
    <w:rsid w:val="0040745F"/>
    <w:rsid w:val="00414E55"/>
    <w:rsid w:val="00420B90"/>
    <w:rsid w:val="00430402"/>
    <w:rsid w:val="00432E11"/>
    <w:rsid w:val="0043349F"/>
    <w:rsid w:val="00434455"/>
    <w:rsid w:val="00435342"/>
    <w:rsid w:val="00441355"/>
    <w:rsid w:val="004513F3"/>
    <w:rsid w:val="004570F0"/>
    <w:rsid w:val="00470F1B"/>
    <w:rsid w:val="004743B7"/>
    <w:rsid w:val="00475A64"/>
    <w:rsid w:val="00476495"/>
    <w:rsid w:val="004826F3"/>
    <w:rsid w:val="00482816"/>
    <w:rsid w:val="00487085"/>
    <w:rsid w:val="00487183"/>
    <w:rsid w:val="004901E9"/>
    <w:rsid w:val="0049311C"/>
    <w:rsid w:val="004934CC"/>
    <w:rsid w:val="004948C7"/>
    <w:rsid w:val="00497ECC"/>
    <w:rsid w:val="004A5287"/>
    <w:rsid w:val="004A7265"/>
    <w:rsid w:val="004A781A"/>
    <w:rsid w:val="004B045B"/>
    <w:rsid w:val="004B34AC"/>
    <w:rsid w:val="004B5B6B"/>
    <w:rsid w:val="004B6B50"/>
    <w:rsid w:val="004B7CE4"/>
    <w:rsid w:val="004C1AF6"/>
    <w:rsid w:val="004C371E"/>
    <w:rsid w:val="004C527F"/>
    <w:rsid w:val="004D32A9"/>
    <w:rsid w:val="004D4331"/>
    <w:rsid w:val="004D5FC2"/>
    <w:rsid w:val="004E1B42"/>
    <w:rsid w:val="004E4AC6"/>
    <w:rsid w:val="004E4E34"/>
    <w:rsid w:val="004E7134"/>
    <w:rsid w:val="004F21FE"/>
    <w:rsid w:val="004F2B03"/>
    <w:rsid w:val="004F44EE"/>
    <w:rsid w:val="004F58B4"/>
    <w:rsid w:val="0050031F"/>
    <w:rsid w:val="005021DE"/>
    <w:rsid w:val="0050373D"/>
    <w:rsid w:val="0050455D"/>
    <w:rsid w:val="005054E0"/>
    <w:rsid w:val="00507567"/>
    <w:rsid w:val="00512171"/>
    <w:rsid w:val="00513A7D"/>
    <w:rsid w:val="00514B2F"/>
    <w:rsid w:val="0051503F"/>
    <w:rsid w:val="00520281"/>
    <w:rsid w:val="00524E73"/>
    <w:rsid w:val="00525F47"/>
    <w:rsid w:val="00526195"/>
    <w:rsid w:val="00530CC7"/>
    <w:rsid w:val="00531F31"/>
    <w:rsid w:val="00532029"/>
    <w:rsid w:val="005336EC"/>
    <w:rsid w:val="00534980"/>
    <w:rsid w:val="00535A6E"/>
    <w:rsid w:val="00535BF0"/>
    <w:rsid w:val="00535C33"/>
    <w:rsid w:val="00536920"/>
    <w:rsid w:val="0054074A"/>
    <w:rsid w:val="0054258A"/>
    <w:rsid w:val="00544DCC"/>
    <w:rsid w:val="00546233"/>
    <w:rsid w:val="00546684"/>
    <w:rsid w:val="0054784B"/>
    <w:rsid w:val="005526D1"/>
    <w:rsid w:val="00552722"/>
    <w:rsid w:val="00554A48"/>
    <w:rsid w:val="00554CF7"/>
    <w:rsid w:val="005602A3"/>
    <w:rsid w:val="00566C73"/>
    <w:rsid w:val="0057103D"/>
    <w:rsid w:val="0057106A"/>
    <w:rsid w:val="00574CAA"/>
    <w:rsid w:val="00575252"/>
    <w:rsid w:val="00577333"/>
    <w:rsid w:val="00577DE7"/>
    <w:rsid w:val="005808FE"/>
    <w:rsid w:val="005820D3"/>
    <w:rsid w:val="00590D17"/>
    <w:rsid w:val="005935E4"/>
    <w:rsid w:val="0059683D"/>
    <w:rsid w:val="005A2676"/>
    <w:rsid w:val="005A3A15"/>
    <w:rsid w:val="005A3DC8"/>
    <w:rsid w:val="005A43ED"/>
    <w:rsid w:val="005B173A"/>
    <w:rsid w:val="005B187F"/>
    <w:rsid w:val="005B37E8"/>
    <w:rsid w:val="005B5829"/>
    <w:rsid w:val="005B7F3D"/>
    <w:rsid w:val="005C0441"/>
    <w:rsid w:val="005C09A7"/>
    <w:rsid w:val="005C2D3F"/>
    <w:rsid w:val="005D0135"/>
    <w:rsid w:val="005D2243"/>
    <w:rsid w:val="005D3B1E"/>
    <w:rsid w:val="005D4EF3"/>
    <w:rsid w:val="005D7DC7"/>
    <w:rsid w:val="005E0A4A"/>
    <w:rsid w:val="005E0C53"/>
    <w:rsid w:val="005E0DFF"/>
    <w:rsid w:val="005E4E6B"/>
    <w:rsid w:val="005E66CD"/>
    <w:rsid w:val="005F31C4"/>
    <w:rsid w:val="005F3F68"/>
    <w:rsid w:val="005F4D3F"/>
    <w:rsid w:val="005F58F7"/>
    <w:rsid w:val="00600288"/>
    <w:rsid w:val="0060054A"/>
    <w:rsid w:val="00604A77"/>
    <w:rsid w:val="006102A7"/>
    <w:rsid w:val="006208D2"/>
    <w:rsid w:val="00623917"/>
    <w:rsid w:val="0062513B"/>
    <w:rsid w:val="00634549"/>
    <w:rsid w:val="00640A6B"/>
    <w:rsid w:val="00642337"/>
    <w:rsid w:val="00642956"/>
    <w:rsid w:val="00652E38"/>
    <w:rsid w:val="006533D5"/>
    <w:rsid w:val="00655EA8"/>
    <w:rsid w:val="0065673E"/>
    <w:rsid w:val="006573CF"/>
    <w:rsid w:val="006578ED"/>
    <w:rsid w:val="00657C8A"/>
    <w:rsid w:val="0066050F"/>
    <w:rsid w:val="006617E5"/>
    <w:rsid w:val="00662099"/>
    <w:rsid w:val="00666023"/>
    <w:rsid w:val="00666B86"/>
    <w:rsid w:val="006724F4"/>
    <w:rsid w:val="0067433A"/>
    <w:rsid w:val="00675809"/>
    <w:rsid w:val="00677CA5"/>
    <w:rsid w:val="00681482"/>
    <w:rsid w:val="006826C8"/>
    <w:rsid w:val="00684EF6"/>
    <w:rsid w:val="006918F4"/>
    <w:rsid w:val="00693C52"/>
    <w:rsid w:val="006A0565"/>
    <w:rsid w:val="006A0E0E"/>
    <w:rsid w:val="006A26DB"/>
    <w:rsid w:val="006A28A6"/>
    <w:rsid w:val="006A35AA"/>
    <w:rsid w:val="006A527A"/>
    <w:rsid w:val="006A6F7C"/>
    <w:rsid w:val="006B1BB1"/>
    <w:rsid w:val="006B29B6"/>
    <w:rsid w:val="006B37AD"/>
    <w:rsid w:val="006C14A7"/>
    <w:rsid w:val="006C18D4"/>
    <w:rsid w:val="006C35C7"/>
    <w:rsid w:val="006C6A0D"/>
    <w:rsid w:val="006C73CD"/>
    <w:rsid w:val="006C7782"/>
    <w:rsid w:val="006C7B94"/>
    <w:rsid w:val="006D235B"/>
    <w:rsid w:val="006D3DB8"/>
    <w:rsid w:val="006E125A"/>
    <w:rsid w:val="006E6006"/>
    <w:rsid w:val="006E786D"/>
    <w:rsid w:val="006F0749"/>
    <w:rsid w:val="006F1A4E"/>
    <w:rsid w:val="006F244A"/>
    <w:rsid w:val="006F3951"/>
    <w:rsid w:val="006F4A89"/>
    <w:rsid w:val="006F5EB2"/>
    <w:rsid w:val="006F77B6"/>
    <w:rsid w:val="007027DD"/>
    <w:rsid w:val="007116F0"/>
    <w:rsid w:val="00711D53"/>
    <w:rsid w:val="00712CE9"/>
    <w:rsid w:val="00712F62"/>
    <w:rsid w:val="00713DC7"/>
    <w:rsid w:val="00716DEF"/>
    <w:rsid w:val="00721F9B"/>
    <w:rsid w:val="00722F79"/>
    <w:rsid w:val="00740295"/>
    <w:rsid w:val="00743274"/>
    <w:rsid w:val="00744122"/>
    <w:rsid w:val="00750B4C"/>
    <w:rsid w:val="00751318"/>
    <w:rsid w:val="007519D0"/>
    <w:rsid w:val="00754357"/>
    <w:rsid w:val="00757641"/>
    <w:rsid w:val="00757C37"/>
    <w:rsid w:val="00760A66"/>
    <w:rsid w:val="0076631C"/>
    <w:rsid w:val="00766A73"/>
    <w:rsid w:val="00772268"/>
    <w:rsid w:val="007739DC"/>
    <w:rsid w:val="00773ECF"/>
    <w:rsid w:val="0077542D"/>
    <w:rsid w:val="00775FAF"/>
    <w:rsid w:val="007837B1"/>
    <w:rsid w:val="00783971"/>
    <w:rsid w:val="00787DE2"/>
    <w:rsid w:val="00787F1A"/>
    <w:rsid w:val="0079000A"/>
    <w:rsid w:val="00790085"/>
    <w:rsid w:val="00795A88"/>
    <w:rsid w:val="007A0447"/>
    <w:rsid w:val="007A0ECD"/>
    <w:rsid w:val="007A235E"/>
    <w:rsid w:val="007A3CE9"/>
    <w:rsid w:val="007A7720"/>
    <w:rsid w:val="007B0C40"/>
    <w:rsid w:val="007B0CA1"/>
    <w:rsid w:val="007C0E9B"/>
    <w:rsid w:val="007C1537"/>
    <w:rsid w:val="007C1D63"/>
    <w:rsid w:val="007C1E16"/>
    <w:rsid w:val="007C3005"/>
    <w:rsid w:val="007C3124"/>
    <w:rsid w:val="007D21ED"/>
    <w:rsid w:val="007D51B1"/>
    <w:rsid w:val="007E1831"/>
    <w:rsid w:val="007E31D9"/>
    <w:rsid w:val="007F0A03"/>
    <w:rsid w:val="007F21CB"/>
    <w:rsid w:val="007F66DE"/>
    <w:rsid w:val="007F7F23"/>
    <w:rsid w:val="0080380E"/>
    <w:rsid w:val="00804BCD"/>
    <w:rsid w:val="00813D95"/>
    <w:rsid w:val="00821C46"/>
    <w:rsid w:val="00821DE1"/>
    <w:rsid w:val="00823E43"/>
    <w:rsid w:val="00827623"/>
    <w:rsid w:val="00830646"/>
    <w:rsid w:val="00830993"/>
    <w:rsid w:val="00830B7B"/>
    <w:rsid w:val="0083174A"/>
    <w:rsid w:val="0083294E"/>
    <w:rsid w:val="008362CD"/>
    <w:rsid w:val="0083682F"/>
    <w:rsid w:val="00837F03"/>
    <w:rsid w:val="008405E1"/>
    <w:rsid w:val="00842581"/>
    <w:rsid w:val="008425A3"/>
    <w:rsid w:val="008479B3"/>
    <w:rsid w:val="008558B2"/>
    <w:rsid w:val="00857FF2"/>
    <w:rsid w:val="0086057D"/>
    <w:rsid w:val="00867DC6"/>
    <w:rsid w:val="00867F6D"/>
    <w:rsid w:val="008717BA"/>
    <w:rsid w:val="00874846"/>
    <w:rsid w:val="00875D49"/>
    <w:rsid w:val="008773F3"/>
    <w:rsid w:val="00877C5B"/>
    <w:rsid w:val="00880C55"/>
    <w:rsid w:val="008813A5"/>
    <w:rsid w:val="00883076"/>
    <w:rsid w:val="00884689"/>
    <w:rsid w:val="0088471E"/>
    <w:rsid w:val="00884F51"/>
    <w:rsid w:val="00886837"/>
    <w:rsid w:val="00886E2C"/>
    <w:rsid w:val="008913A2"/>
    <w:rsid w:val="008922E6"/>
    <w:rsid w:val="00894205"/>
    <w:rsid w:val="0089522F"/>
    <w:rsid w:val="00897042"/>
    <w:rsid w:val="008A0DDA"/>
    <w:rsid w:val="008A0FA7"/>
    <w:rsid w:val="008A48B2"/>
    <w:rsid w:val="008B00C2"/>
    <w:rsid w:val="008B17FA"/>
    <w:rsid w:val="008B43EA"/>
    <w:rsid w:val="008B49F5"/>
    <w:rsid w:val="008B535D"/>
    <w:rsid w:val="008B7436"/>
    <w:rsid w:val="008C39C4"/>
    <w:rsid w:val="008C6DA3"/>
    <w:rsid w:val="008C786D"/>
    <w:rsid w:val="008D0E70"/>
    <w:rsid w:val="008D33C9"/>
    <w:rsid w:val="008D3673"/>
    <w:rsid w:val="008D43AB"/>
    <w:rsid w:val="008D6676"/>
    <w:rsid w:val="008E0DE8"/>
    <w:rsid w:val="008E1D13"/>
    <w:rsid w:val="008E2BEE"/>
    <w:rsid w:val="008F43FD"/>
    <w:rsid w:val="008F53BB"/>
    <w:rsid w:val="00904C89"/>
    <w:rsid w:val="009054DF"/>
    <w:rsid w:val="00905598"/>
    <w:rsid w:val="00906624"/>
    <w:rsid w:val="00915D4B"/>
    <w:rsid w:val="009161B2"/>
    <w:rsid w:val="0092542F"/>
    <w:rsid w:val="009258A9"/>
    <w:rsid w:val="00927F33"/>
    <w:rsid w:val="009321F3"/>
    <w:rsid w:val="00943500"/>
    <w:rsid w:val="00950F6E"/>
    <w:rsid w:val="00954D0C"/>
    <w:rsid w:val="00954FB8"/>
    <w:rsid w:val="00955612"/>
    <w:rsid w:val="00955DCD"/>
    <w:rsid w:val="0095769B"/>
    <w:rsid w:val="0096144A"/>
    <w:rsid w:val="00961A70"/>
    <w:rsid w:val="00964FF6"/>
    <w:rsid w:val="00965F09"/>
    <w:rsid w:val="00967C0F"/>
    <w:rsid w:val="00971901"/>
    <w:rsid w:val="00971A70"/>
    <w:rsid w:val="00973EF6"/>
    <w:rsid w:val="00974BC7"/>
    <w:rsid w:val="0097529C"/>
    <w:rsid w:val="009759A1"/>
    <w:rsid w:val="00983180"/>
    <w:rsid w:val="0098698B"/>
    <w:rsid w:val="00986A0D"/>
    <w:rsid w:val="009903A4"/>
    <w:rsid w:val="00992FF0"/>
    <w:rsid w:val="009936FE"/>
    <w:rsid w:val="00993C58"/>
    <w:rsid w:val="00994CC5"/>
    <w:rsid w:val="0099761F"/>
    <w:rsid w:val="009A1EDA"/>
    <w:rsid w:val="009A2AF5"/>
    <w:rsid w:val="009A4AE3"/>
    <w:rsid w:val="009B5562"/>
    <w:rsid w:val="009B6B62"/>
    <w:rsid w:val="009B795B"/>
    <w:rsid w:val="009C0253"/>
    <w:rsid w:val="009C1879"/>
    <w:rsid w:val="009C23D8"/>
    <w:rsid w:val="009C6659"/>
    <w:rsid w:val="009D0950"/>
    <w:rsid w:val="009D358B"/>
    <w:rsid w:val="009D5DAE"/>
    <w:rsid w:val="009D7A8D"/>
    <w:rsid w:val="009E2831"/>
    <w:rsid w:val="009E5A15"/>
    <w:rsid w:val="009E65A1"/>
    <w:rsid w:val="009E69E6"/>
    <w:rsid w:val="009E7542"/>
    <w:rsid w:val="009E77DF"/>
    <w:rsid w:val="009F1570"/>
    <w:rsid w:val="009F44A4"/>
    <w:rsid w:val="009F5F5C"/>
    <w:rsid w:val="009F78A8"/>
    <w:rsid w:val="00A007C8"/>
    <w:rsid w:val="00A10092"/>
    <w:rsid w:val="00A12050"/>
    <w:rsid w:val="00A12145"/>
    <w:rsid w:val="00A12DFC"/>
    <w:rsid w:val="00A140C9"/>
    <w:rsid w:val="00A15DAA"/>
    <w:rsid w:val="00A20861"/>
    <w:rsid w:val="00A22DFE"/>
    <w:rsid w:val="00A23898"/>
    <w:rsid w:val="00A25573"/>
    <w:rsid w:val="00A25B8E"/>
    <w:rsid w:val="00A26958"/>
    <w:rsid w:val="00A273AE"/>
    <w:rsid w:val="00A27633"/>
    <w:rsid w:val="00A30E78"/>
    <w:rsid w:val="00A3123E"/>
    <w:rsid w:val="00A3747F"/>
    <w:rsid w:val="00A37A3A"/>
    <w:rsid w:val="00A40573"/>
    <w:rsid w:val="00A4058E"/>
    <w:rsid w:val="00A40923"/>
    <w:rsid w:val="00A43CE6"/>
    <w:rsid w:val="00A45049"/>
    <w:rsid w:val="00A45DAD"/>
    <w:rsid w:val="00A46FB6"/>
    <w:rsid w:val="00A510FA"/>
    <w:rsid w:val="00A5368A"/>
    <w:rsid w:val="00A536A7"/>
    <w:rsid w:val="00A54CEB"/>
    <w:rsid w:val="00A60258"/>
    <w:rsid w:val="00A62CEB"/>
    <w:rsid w:val="00A6449B"/>
    <w:rsid w:val="00A654E2"/>
    <w:rsid w:val="00A66D20"/>
    <w:rsid w:val="00A678ED"/>
    <w:rsid w:val="00A67BE7"/>
    <w:rsid w:val="00A721FF"/>
    <w:rsid w:val="00A744B9"/>
    <w:rsid w:val="00A74807"/>
    <w:rsid w:val="00A806D0"/>
    <w:rsid w:val="00A80E11"/>
    <w:rsid w:val="00A865F3"/>
    <w:rsid w:val="00A9028E"/>
    <w:rsid w:val="00A912D8"/>
    <w:rsid w:val="00A93A59"/>
    <w:rsid w:val="00A93B8C"/>
    <w:rsid w:val="00AA0D0D"/>
    <w:rsid w:val="00AA2C09"/>
    <w:rsid w:val="00AA3CF2"/>
    <w:rsid w:val="00AA6EBD"/>
    <w:rsid w:val="00AB51B5"/>
    <w:rsid w:val="00AC3BF5"/>
    <w:rsid w:val="00AC4023"/>
    <w:rsid w:val="00AC558C"/>
    <w:rsid w:val="00AC77D1"/>
    <w:rsid w:val="00AD2837"/>
    <w:rsid w:val="00AD31AE"/>
    <w:rsid w:val="00AD5A13"/>
    <w:rsid w:val="00AE1422"/>
    <w:rsid w:val="00AE43F2"/>
    <w:rsid w:val="00AE7027"/>
    <w:rsid w:val="00AE705A"/>
    <w:rsid w:val="00AF5DA0"/>
    <w:rsid w:val="00AF6B40"/>
    <w:rsid w:val="00AF71AE"/>
    <w:rsid w:val="00B008C3"/>
    <w:rsid w:val="00B00EE9"/>
    <w:rsid w:val="00B04B02"/>
    <w:rsid w:val="00B060AB"/>
    <w:rsid w:val="00B0707C"/>
    <w:rsid w:val="00B13B07"/>
    <w:rsid w:val="00B144E7"/>
    <w:rsid w:val="00B14E9A"/>
    <w:rsid w:val="00B15580"/>
    <w:rsid w:val="00B2220E"/>
    <w:rsid w:val="00B25C7A"/>
    <w:rsid w:val="00B2737B"/>
    <w:rsid w:val="00B313CB"/>
    <w:rsid w:val="00B32602"/>
    <w:rsid w:val="00B34CDC"/>
    <w:rsid w:val="00B35DF7"/>
    <w:rsid w:val="00B42CAC"/>
    <w:rsid w:val="00B447A4"/>
    <w:rsid w:val="00B454B1"/>
    <w:rsid w:val="00B50C2B"/>
    <w:rsid w:val="00B55894"/>
    <w:rsid w:val="00B56F58"/>
    <w:rsid w:val="00B6062D"/>
    <w:rsid w:val="00B62CA0"/>
    <w:rsid w:val="00B64680"/>
    <w:rsid w:val="00B743D5"/>
    <w:rsid w:val="00B77A3E"/>
    <w:rsid w:val="00B80333"/>
    <w:rsid w:val="00B816D1"/>
    <w:rsid w:val="00B8210B"/>
    <w:rsid w:val="00B85148"/>
    <w:rsid w:val="00B852CD"/>
    <w:rsid w:val="00B87094"/>
    <w:rsid w:val="00B92A21"/>
    <w:rsid w:val="00B93518"/>
    <w:rsid w:val="00B93E72"/>
    <w:rsid w:val="00B94ED1"/>
    <w:rsid w:val="00BA1B8D"/>
    <w:rsid w:val="00BA30A8"/>
    <w:rsid w:val="00BA4A5C"/>
    <w:rsid w:val="00BA69AC"/>
    <w:rsid w:val="00BA6DF4"/>
    <w:rsid w:val="00BB19A0"/>
    <w:rsid w:val="00BB2A59"/>
    <w:rsid w:val="00BB7087"/>
    <w:rsid w:val="00BC4052"/>
    <w:rsid w:val="00BC4C6E"/>
    <w:rsid w:val="00BD2A41"/>
    <w:rsid w:val="00BD34D7"/>
    <w:rsid w:val="00BD3EAA"/>
    <w:rsid w:val="00BD5B65"/>
    <w:rsid w:val="00BD6392"/>
    <w:rsid w:val="00BD703F"/>
    <w:rsid w:val="00BD75AF"/>
    <w:rsid w:val="00BE3606"/>
    <w:rsid w:val="00BE4111"/>
    <w:rsid w:val="00BE7A84"/>
    <w:rsid w:val="00BF031F"/>
    <w:rsid w:val="00BF27C4"/>
    <w:rsid w:val="00BF28FA"/>
    <w:rsid w:val="00BF5F44"/>
    <w:rsid w:val="00C019D5"/>
    <w:rsid w:val="00C01B44"/>
    <w:rsid w:val="00C06331"/>
    <w:rsid w:val="00C10918"/>
    <w:rsid w:val="00C16ED6"/>
    <w:rsid w:val="00C1724B"/>
    <w:rsid w:val="00C17EEE"/>
    <w:rsid w:val="00C23F4F"/>
    <w:rsid w:val="00C24724"/>
    <w:rsid w:val="00C3032E"/>
    <w:rsid w:val="00C31678"/>
    <w:rsid w:val="00C31B26"/>
    <w:rsid w:val="00C33645"/>
    <w:rsid w:val="00C336E0"/>
    <w:rsid w:val="00C36FF2"/>
    <w:rsid w:val="00C43CEB"/>
    <w:rsid w:val="00C44DD4"/>
    <w:rsid w:val="00C46A39"/>
    <w:rsid w:val="00C50EEA"/>
    <w:rsid w:val="00C53824"/>
    <w:rsid w:val="00C53EAC"/>
    <w:rsid w:val="00C553C2"/>
    <w:rsid w:val="00C56332"/>
    <w:rsid w:val="00C567BB"/>
    <w:rsid w:val="00C57837"/>
    <w:rsid w:val="00C5788D"/>
    <w:rsid w:val="00C62DBF"/>
    <w:rsid w:val="00C63809"/>
    <w:rsid w:val="00C641F1"/>
    <w:rsid w:val="00C64374"/>
    <w:rsid w:val="00C70D90"/>
    <w:rsid w:val="00C71292"/>
    <w:rsid w:val="00C7498A"/>
    <w:rsid w:val="00C75783"/>
    <w:rsid w:val="00C767AF"/>
    <w:rsid w:val="00C76ED5"/>
    <w:rsid w:val="00C77019"/>
    <w:rsid w:val="00C77119"/>
    <w:rsid w:val="00C77292"/>
    <w:rsid w:val="00C77DB6"/>
    <w:rsid w:val="00C81C3C"/>
    <w:rsid w:val="00C82986"/>
    <w:rsid w:val="00C86275"/>
    <w:rsid w:val="00C862DA"/>
    <w:rsid w:val="00C90AEA"/>
    <w:rsid w:val="00C9500B"/>
    <w:rsid w:val="00C975B8"/>
    <w:rsid w:val="00CA02FA"/>
    <w:rsid w:val="00CA05A3"/>
    <w:rsid w:val="00CA29A1"/>
    <w:rsid w:val="00CA3FEE"/>
    <w:rsid w:val="00CA4102"/>
    <w:rsid w:val="00CA491F"/>
    <w:rsid w:val="00CA4AFC"/>
    <w:rsid w:val="00CA5F0E"/>
    <w:rsid w:val="00CA799F"/>
    <w:rsid w:val="00CB75F2"/>
    <w:rsid w:val="00CC11AD"/>
    <w:rsid w:val="00CC42B4"/>
    <w:rsid w:val="00CC4FF7"/>
    <w:rsid w:val="00CC6390"/>
    <w:rsid w:val="00CC6449"/>
    <w:rsid w:val="00CC73F0"/>
    <w:rsid w:val="00CD03D9"/>
    <w:rsid w:val="00CD1278"/>
    <w:rsid w:val="00CD493F"/>
    <w:rsid w:val="00CD5139"/>
    <w:rsid w:val="00CD7AC6"/>
    <w:rsid w:val="00CE0ADF"/>
    <w:rsid w:val="00CE370A"/>
    <w:rsid w:val="00CE3F5E"/>
    <w:rsid w:val="00CE4D02"/>
    <w:rsid w:val="00CE5545"/>
    <w:rsid w:val="00CE7CEA"/>
    <w:rsid w:val="00CF4263"/>
    <w:rsid w:val="00CF44BB"/>
    <w:rsid w:val="00CF485E"/>
    <w:rsid w:val="00D010AA"/>
    <w:rsid w:val="00D03632"/>
    <w:rsid w:val="00D03B1B"/>
    <w:rsid w:val="00D0517F"/>
    <w:rsid w:val="00D106A3"/>
    <w:rsid w:val="00D116AD"/>
    <w:rsid w:val="00D11D42"/>
    <w:rsid w:val="00D2196E"/>
    <w:rsid w:val="00D226C9"/>
    <w:rsid w:val="00D27D9A"/>
    <w:rsid w:val="00D30850"/>
    <w:rsid w:val="00D30F78"/>
    <w:rsid w:val="00D3346B"/>
    <w:rsid w:val="00D336C4"/>
    <w:rsid w:val="00D4114E"/>
    <w:rsid w:val="00D44014"/>
    <w:rsid w:val="00D4521C"/>
    <w:rsid w:val="00D455B2"/>
    <w:rsid w:val="00D50340"/>
    <w:rsid w:val="00D50D44"/>
    <w:rsid w:val="00D53A76"/>
    <w:rsid w:val="00D55926"/>
    <w:rsid w:val="00D56979"/>
    <w:rsid w:val="00D56E9D"/>
    <w:rsid w:val="00D56F55"/>
    <w:rsid w:val="00D61A97"/>
    <w:rsid w:val="00D64B3B"/>
    <w:rsid w:val="00D74699"/>
    <w:rsid w:val="00D75779"/>
    <w:rsid w:val="00D76055"/>
    <w:rsid w:val="00D76159"/>
    <w:rsid w:val="00D80B5A"/>
    <w:rsid w:val="00D81887"/>
    <w:rsid w:val="00D81A47"/>
    <w:rsid w:val="00D84E4C"/>
    <w:rsid w:val="00D85C1F"/>
    <w:rsid w:val="00D8607D"/>
    <w:rsid w:val="00D879F6"/>
    <w:rsid w:val="00D90D9B"/>
    <w:rsid w:val="00D91509"/>
    <w:rsid w:val="00D91A5E"/>
    <w:rsid w:val="00D94C4C"/>
    <w:rsid w:val="00D94EF9"/>
    <w:rsid w:val="00D95550"/>
    <w:rsid w:val="00DA08C3"/>
    <w:rsid w:val="00DA2C67"/>
    <w:rsid w:val="00DB415F"/>
    <w:rsid w:val="00DB4947"/>
    <w:rsid w:val="00DB5033"/>
    <w:rsid w:val="00DB5F19"/>
    <w:rsid w:val="00DB7FC8"/>
    <w:rsid w:val="00DC1F7E"/>
    <w:rsid w:val="00DC228E"/>
    <w:rsid w:val="00DC22AC"/>
    <w:rsid w:val="00DC23D2"/>
    <w:rsid w:val="00DC259D"/>
    <w:rsid w:val="00DC50C8"/>
    <w:rsid w:val="00DC5BC6"/>
    <w:rsid w:val="00DC6DD5"/>
    <w:rsid w:val="00DD5E37"/>
    <w:rsid w:val="00DD5FFF"/>
    <w:rsid w:val="00DE3EA2"/>
    <w:rsid w:val="00DE5BBD"/>
    <w:rsid w:val="00DE687D"/>
    <w:rsid w:val="00DF3387"/>
    <w:rsid w:val="00DF6C63"/>
    <w:rsid w:val="00E01B66"/>
    <w:rsid w:val="00E02EC1"/>
    <w:rsid w:val="00E0357F"/>
    <w:rsid w:val="00E0375C"/>
    <w:rsid w:val="00E04004"/>
    <w:rsid w:val="00E1111A"/>
    <w:rsid w:val="00E11B88"/>
    <w:rsid w:val="00E13BB1"/>
    <w:rsid w:val="00E14DB6"/>
    <w:rsid w:val="00E14EF5"/>
    <w:rsid w:val="00E166DD"/>
    <w:rsid w:val="00E215C0"/>
    <w:rsid w:val="00E21A76"/>
    <w:rsid w:val="00E233AC"/>
    <w:rsid w:val="00E23B65"/>
    <w:rsid w:val="00E2780A"/>
    <w:rsid w:val="00E3074E"/>
    <w:rsid w:val="00E31449"/>
    <w:rsid w:val="00E3308D"/>
    <w:rsid w:val="00E338FA"/>
    <w:rsid w:val="00E356E7"/>
    <w:rsid w:val="00E35B1D"/>
    <w:rsid w:val="00E41625"/>
    <w:rsid w:val="00E41BBF"/>
    <w:rsid w:val="00E45F75"/>
    <w:rsid w:val="00E53515"/>
    <w:rsid w:val="00E6090B"/>
    <w:rsid w:val="00E65ED6"/>
    <w:rsid w:val="00E67D87"/>
    <w:rsid w:val="00E74023"/>
    <w:rsid w:val="00E768F1"/>
    <w:rsid w:val="00E77A58"/>
    <w:rsid w:val="00E80CCE"/>
    <w:rsid w:val="00E833F4"/>
    <w:rsid w:val="00E90D9F"/>
    <w:rsid w:val="00E96001"/>
    <w:rsid w:val="00EA0426"/>
    <w:rsid w:val="00EA397B"/>
    <w:rsid w:val="00EA3ACD"/>
    <w:rsid w:val="00EA4753"/>
    <w:rsid w:val="00EA6976"/>
    <w:rsid w:val="00EB0BAA"/>
    <w:rsid w:val="00EB17CD"/>
    <w:rsid w:val="00EB1CB8"/>
    <w:rsid w:val="00EB5C22"/>
    <w:rsid w:val="00EB62AC"/>
    <w:rsid w:val="00EB74F9"/>
    <w:rsid w:val="00EC3411"/>
    <w:rsid w:val="00EC42AA"/>
    <w:rsid w:val="00EC4950"/>
    <w:rsid w:val="00EC5B03"/>
    <w:rsid w:val="00EC7684"/>
    <w:rsid w:val="00EC7DBA"/>
    <w:rsid w:val="00EC7FC9"/>
    <w:rsid w:val="00ED0781"/>
    <w:rsid w:val="00ED2426"/>
    <w:rsid w:val="00ED4938"/>
    <w:rsid w:val="00ED4FB8"/>
    <w:rsid w:val="00ED72F7"/>
    <w:rsid w:val="00ED76CA"/>
    <w:rsid w:val="00EE1A3C"/>
    <w:rsid w:val="00EE2B58"/>
    <w:rsid w:val="00EE789C"/>
    <w:rsid w:val="00EF0F87"/>
    <w:rsid w:val="00EF5E73"/>
    <w:rsid w:val="00EF68EE"/>
    <w:rsid w:val="00EF727F"/>
    <w:rsid w:val="00F068ED"/>
    <w:rsid w:val="00F13E7C"/>
    <w:rsid w:val="00F1508E"/>
    <w:rsid w:val="00F24A8F"/>
    <w:rsid w:val="00F30686"/>
    <w:rsid w:val="00F341FA"/>
    <w:rsid w:val="00F35D1E"/>
    <w:rsid w:val="00F35DAF"/>
    <w:rsid w:val="00F43C38"/>
    <w:rsid w:val="00F43E52"/>
    <w:rsid w:val="00F459B4"/>
    <w:rsid w:val="00F46345"/>
    <w:rsid w:val="00F5019A"/>
    <w:rsid w:val="00F50A11"/>
    <w:rsid w:val="00F54684"/>
    <w:rsid w:val="00F608FB"/>
    <w:rsid w:val="00F61FE3"/>
    <w:rsid w:val="00F62D14"/>
    <w:rsid w:val="00F63184"/>
    <w:rsid w:val="00F700AE"/>
    <w:rsid w:val="00F71125"/>
    <w:rsid w:val="00F75D8D"/>
    <w:rsid w:val="00F80F20"/>
    <w:rsid w:val="00F81F9A"/>
    <w:rsid w:val="00F84DB2"/>
    <w:rsid w:val="00F85D02"/>
    <w:rsid w:val="00F86327"/>
    <w:rsid w:val="00F943E9"/>
    <w:rsid w:val="00F971F0"/>
    <w:rsid w:val="00FA006F"/>
    <w:rsid w:val="00FA6E38"/>
    <w:rsid w:val="00FA7791"/>
    <w:rsid w:val="00FA7A35"/>
    <w:rsid w:val="00FB2191"/>
    <w:rsid w:val="00FC0F6D"/>
    <w:rsid w:val="00FC7439"/>
    <w:rsid w:val="00FD1B08"/>
    <w:rsid w:val="00FD2C7D"/>
    <w:rsid w:val="00FD354F"/>
    <w:rsid w:val="00FE236F"/>
    <w:rsid w:val="00FE3FC5"/>
    <w:rsid w:val="00FE565E"/>
    <w:rsid w:val="00FE61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A884"/>
  <w15:chartTrackingRefBased/>
  <w15:docId w15:val="{0CFDE1D1-7C80-43D6-AF6B-BA55E8CE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CD0"/>
    <w:pPr>
      <w:spacing w:line="280" w:lineRule="exact"/>
    </w:pPr>
    <w:rPr>
      <w:rFonts w:ascii="TradeGothic" w:hAnsi="TradeGothic"/>
      <w:spacing w:val="-3"/>
      <w:sz w:val="22"/>
      <w:szCs w:val="22"/>
      <w:lang w:eastAsia="en-US"/>
    </w:rPr>
  </w:style>
  <w:style w:type="paragraph" w:styleId="berschrift1">
    <w:name w:val="heading 1"/>
    <w:basedOn w:val="Standard"/>
    <w:next w:val="Standard"/>
    <w:qFormat/>
    <w:rsid w:val="00C3032E"/>
    <w:pPr>
      <w:keepLines/>
      <w:numPr>
        <w:numId w:val="3"/>
      </w:numPr>
      <w:tabs>
        <w:tab w:val="left" w:pos="720"/>
        <w:tab w:val="left" w:pos="1361"/>
      </w:tabs>
      <w:spacing w:before="360" w:after="180" w:line="260" w:lineRule="atLeast"/>
      <w:outlineLvl w:val="0"/>
    </w:pPr>
    <w:rPr>
      <w:b/>
      <w:szCs w:val="28"/>
    </w:rPr>
  </w:style>
  <w:style w:type="paragraph" w:styleId="berschrift2">
    <w:name w:val="heading 2"/>
    <w:basedOn w:val="Standard"/>
    <w:next w:val="Standard"/>
    <w:qFormat/>
    <w:rsid w:val="00C3032E"/>
    <w:pPr>
      <w:keepLines/>
      <w:numPr>
        <w:ilvl w:val="1"/>
        <w:numId w:val="3"/>
      </w:numPr>
      <w:tabs>
        <w:tab w:val="left" w:pos="720"/>
      </w:tabs>
      <w:spacing w:before="180" w:after="120"/>
      <w:outlineLvl w:val="1"/>
    </w:pPr>
    <w:rPr>
      <w:szCs w:val="24"/>
    </w:rPr>
  </w:style>
  <w:style w:type="paragraph" w:styleId="berschrift3">
    <w:name w:val="heading 3"/>
    <w:basedOn w:val="Standard"/>
    <w:next w:val="Standard"/>
    <w:qFormat/>
    <w:rsid w:val="00C3032E"/>
    <w:pPr>
      <w:keepLines/>
      <w:numPr>
        <w:ilvl w:val="2"/>
        <w:numId w:val="3"/>
      </w:numPr>
      <w:tabs>
        <w:tab w:val="left" w:pos="720"/>
      </w:tabs>
      <w:spacing w:before="120" w:after="60" w:line="240" w:lineRule="auto"/>
      <w:outlineLvl w:val="2"/>
    </w:pPr>
    <w:rPr>
      <w:rFonts w:cs="Arial"/>
      <w:bCs/>
      <w:sz w:val="20"/>
    </w:rPr>
  </w:style>
  <w:style w:type="paragraph" w:styleId="berschrift4">
    <w:name w:val="heading 4"/>
    <w:basedOn w:val="berschrift3"/>
    <w:next w:val="Standard"/>
    <w:qFormat/>
    <w:rsid w:val="00C3032E"/>
    <w:pPr>
      <w:numPr>
        <w:ilvl w:val="3"/>
      </w:numPr>
      <w:spacing w:before="60"/>
      <w:outlineLvl w:val="3"/>
    </w:pPr>
    <w:rPr>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1ptZentriert">
    <w:name w:val="Formatvorlage 11 pt Zentriert"/>
    <w:basedOn w:val="Standard"/>
    <w:rsid w:val="00EC3411"/>
    <w:pPr>
      <w:jc w:val="center"/>
    </w:pPr>
  </w:style>
  <w:style w:type="paragraph" w:customStyle="1" w:styleId="Zwischentitel">
    <w:name w:val="Zwischentitel"/>
    <w:basedOn w:val="Standard"/>
    <w:next w:val="Standard"/>
    <w:rsid w:val="00034CD0"/>
    <w:pPr>
      <w:numPr>
        <w:numId w:val="1"/>
      </w:numPr>
      <w:spacing w:before="360" w:after="240" w:line="270" w:lineRule="atLeast"/>
    </w:pPr>
    <w:rPr>
      <w:b/>
    </w:rPr>
  </w:style>
  <w:style w:type="paragraph" w:styleId="Verzeichnis1">
    <w:name w:val="toc 1"/>
    <w:basedOn w:val="Standard"/>
    <w:next w:val="Standard"/>
    <w:rsid w:val="00034CD0"/>
    <w:pPr>
      <w:keepLines/>
      <w:tabs>
        <w:tab w:val="left" w:pos="454"/>
        <w:tab w:val="right" w:leader="dot" w:pos="9356"/>
      </w:tabs>
      <w:spacing w:before="120" w:after="60" w:line="240" w:lineRule="auto"/>
    </w:pPr>
    <w:rPr>
      <w:noProof/>
      <w:szCs w:val="24"/>
      <w:lang w:val="de-DE" w:eastAsia="de-DE"/>
    </w:rPr>
  </w:style>
  <w:style w:type="paragraph" w:styleId="Verzeichnis2">
    <w:name w:val="toc 2"/>
    <w:basedOn w:val="Standard"/>
    <w:next w:val="Standard"/>
    <w:rsid w:val="00034CD0"/>
    <w:pPr>
      <w:keepLines/>
      <w:tabs>
        <w:tab w:val="left" w:pos="454"/>
        <w:tab w:val="right" w:leader="dot" w:pos="9356"/>
      </w:tabs>
      <w:spacing w:line="240" w:lineRule="auto"/>
    </w:pPr>
    <w:rPr>
      <w:rFonts w:cs="Arial"/>
      <w:noProof/>
      <w:sz w:val="20"/>
      <w:lang w:val="de-DE" w:eastAsia="de-DE"/>
    </w:rPr>
  </w:style>
  <w:style w:type="paragraph" w:styleId="Fuzeile">
    <w:name w:val="footer"/>
    <w:basedOn w:val="Standard"/>
    <w:link w:val="FuzeileZchn"/>
    <w:uiPriority w:val="99"/>
    <w:rsid w:val="00111E2B"/>
    <w:pPr>
      <w:framePr w:wrap="notBeside" w:vAnchor="text" w:hAnchor="text" w:y="1"/>
      <w:tabs>
        <w:tab w:val="center" w:pos="4536"/>
        <w:tab w:val="right" w:pos="9072"/>
      </w:tabs>
    </w:pPr>
  </w:style>
  <w:style w:type="table" w:styleId="Tabellenraster">
    <w:name w:val="Table Grid"/>
    <w:basedOn w:val="NormaleTabelle"/>
    <w:rsid w:val="0035764D"/>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lDAdress1">
    <w:name w:val="szlDAdress1"/>
    <w:basedOn w:val="Standard"/>
    <w:rsid w:val="00F85D02"/>
    <w:pPr>
      <w:framePr w:w="3708" w:h="1456" w:hSpace="141" w:wrap="around" w:vAnchor="page" w:hAnchor="page" w:x="4467" w:y="721"/>
    </w:pPr>
    <w:rPr>
      <w:rFonts w:ascii="TradeGothic Light" w:hAnsi="TradeGothic Light"/>
      <w:spacing w:val="3"/>
      <w:sz w:val="16"/>
      <w:szCs w:val="20"/>
      <w:lang w:eastAsia="de-CH"/>
    </w:rPr>
  </w:style>
  <w:style w:type="paragraph" w:customStyle="1" w:styleId="szlDAdressff">
    <w:name w:val="szlDAdressff"/>
    <w:basedOn w:val="szlDAdress1"/>
    <w:rsid w:val="00F85D02"/>
    <w:pPr>
      <w:framePr w:wrap="around"/>
      <w:spacing w:line="190" w:lineRule="exact"/>
    </w:pPr>
  </w:style>
  <w:style w:type="paragraph" w:customStyle="1" w:styleId="szlDepAmt">
    <w:name w:val="szlDepAmt"/>
    <w:basedOn w:val="Standard"/>
    <w:rsid w:val="00F85D02"/>
    <w:pPr>
      <w:tabs>
        <w:tab w:val="center" w:pos="4536"/>
        <w:tab w:val="right" w:pos="9072"/>
      </w:tabs>
      <w:spacing w:before="20" w:line="270" w:lineRule="atLeast"/>
    </w:pPr>
    <w:rPr>
      <w:sz w:val="30"/>
      <w:szCs w:val="20"/>
      <w:lang w:eastAsia="de-CH"/>
    </w:rPr>
  </w:style>
  <w:style w:type="character" w:styleId="Seitenzahl">
    <w:name w:val="page number"/>
    <w:basedOn w:val="Absatz-Standardschriftart"/>
    <w:rsid w:val="005A2676"/>
  </w:style>
  <w:style w:type="paragraph" w:styleId="Dokumentstruktur">
    <w:name w:val="Document Map"/>
    <w:basedOn w:val="Standard"/>
    <w:semiHidden/>
    <w:rsid w:val="00B87094"/>
    <w:pPr>
      <w:shd w:val="clear" w:color="auto" w:fill="000080"/>
    </w:pPr>
    <w:rPr>
      <w:rFonts w:ascii="Tahoma" w:hAnsi="Tahoma" w:cs="Tahoma"/>
      <w:sz w:val="20"/>
      <w:szCs w:val="20"/>
    </w:rPr>
  </w:style>
  <w:style w:type="paragraph" w:customStyle="1" w:styleId="szlDienstFunkt">
    <w:name w:val="szlDienstFunkt"/>
    <w:basedOn w:val="Standard"/>
    <w:rsid w:val="00B87094"/>
    <w:pPr>
      <w:framePr w:w="3708" w:h="1456" w:hSpace="141" w:wrap="around" w:vAnchor="page" w:hAnchor="page" w:x="4467" w:y="721"/>
    </w:pPr>
    <w:rPr>
      <w:b/>
      <w:spacing w:val="3"/>
      <w:sz w:val="16"/>
      <w:szCs w:val="20"/>
      <w:lang w:eastAsia="de-CH"/>
    </w:rPr>
  </w:style>
  <w:style w:type="paragraph" w:customStyle="1" w:styleId="Standard1">
    <w:name w:val="Standard 1"/>
    <w:basedOn w:val="Standard"/>
    <w:next w:val="Standard"/>
    <w:rsid w:val="00B87094"/>
    <w:pPr>
      <w:spacing w:before="170" w:line="240" w:lineRule="auto"/>
      <w:jc w:val="both"/>
    </w:pPr>
    <w:rPr>
      <w:spacing w:val="0"/>
      <w:sz w:val="17"/>
      <w:szCs w:val="20"/>
      <w:lang w:eastAsia="de-CH"/>
    </w:rPr>
  </w:style>
  <w:style w:type="paragraph" w:customStyle="1" w:styleId="Auflistunga">
    <w:name w:val="Auflistung a)"/>
    <w:basedOn w:val="Standard"/>
    <w:rsid w:val="00B87094"/>
    <w:pPr>
      <w:spacing w:line="240" w:lineRule="auto"/>
      <w:ind w:left="284" w:hanging="284"/>
      <w:jc w:val="both"/>
    </w:pPr>
    <w:rPr>
      <w:spacing w:val="0"/>
      <w:sz w:val="17"/>
      <w:szCs w:val="20"/>
      <w:lang w:eastAsia="de-CH"/>
    </w:rPr>
  </w:style>
  <w:style w:type="paragraph" w:customStyle="1" w:styleId="Instanzbeschliesst2">
    <w:name w:val="Instanz beschliesst 2"/>
    <w:basedOn w:val="Standard"/>
    <w:rsid w:val="007D21ED"/>
    <w:pPr>
      <w:spacing w:line="240" w:lineRule="auto"/>
      <w:jc w:val="both"/>
    </w:pPr>
    <w:rPr>
      <w:i/>
      <w:spacing w:val="0"/>
      <w:sz w:val="17"/>
      <w:szCs w:val="20"/>
      <w:lang w:eastAsia="de-CH"/>
    </w:rPr>
  </w:style>
  <w:style w:type="paragraph" w:customStyle="1" w:styleId="Haupttitel">
    <w:name w:val="Haupttitel"/>
    <w:basedOn w:val="Standard"/>
    <w:next w:val="Standard"/>
    <w:rsid w:val="007D21ED"/>
    <w:pPr>
      <w:spacing w:before="340" w:line="240" w:lineRule="auto"/>
    </w:pPr>
    <w:rPr>
      <w:b/>
      <w:spacing w:val="0"/>
      <w:sz w:val="17"/>
      <w:szCs w:val="20"/>
      <w:lang w:eastAsia="de-CH"/>
    </w:rPr>
  </w:style>
  <w:style w:type="paragraph" w:customStyle="1" w:styleId="Untertitel1">
    <w:name w:val="Untertitel 1"/>
    <w:basedOn w:val="Standard"/>
    <w:next w:val="Standard"/>
    <w:rsid w:val="007D21ED"/>
    <w:pPr>
      <w:spacing w:before="280" w:line="240" w:lineRule="auto"/>
    </w:pPr>
    <w:rPr>
      <w:i/>
      <w:spacing w:val="0"/>
      <w:sz w:val="17"/>
      <w:szCs w:val="20"/>
      <w:lang w:eastAsia="de-CH"/>
    </w:rPr>
  </w:style>
  <w:style w:type="character" w:customStyle="1" w:styleId="Absatznummer">
    <w:name w:val="Absatznummer"/>
    <w:rsid w:val="00A45DAD"/>
    <w:rPr>
      <w:rFonts w:ascii="TradeGothic" w:hAnsi="TradeGothic"/>
      <w:sz w:val="17"/>
      <w:vertAlign w:val="superscript"/>
    </w:rPr>
  </w:style>
  <w:style w:type="character" w:styleId="Kommentarzeichen">
    <w:name w:val="annotation reference"/>
    <w:semiHidden/>
    <w:rsid w:val="00A45DAD"/>
    <w:rPr>
      <w:sz w:val="16"/>
      <w:szCs w:val="16"/>
    </w:rPr>
  </w:style>
  <w:style w:type="paragraph" w:styleId="Kommentartext">
    <w:name w:val="annotation text"/>
    <w:basedOn w:val="Standard"/>
    <w:semiHidden/>
    <w:rsid w:val="00A45DAD"/>
    <w:pPr>
      <w:spacing w:line="240" w:lineRule="auto"/>
      <w:jc w:val="both"/>
    </w:pPr>
    <w:rPr>
      <w:spacing w:val="0"/>
      <w:sz w:val="20"/>
      <w:szCs w:val="20"/>
      <w:lang w:eastAsia="de-CH"/>
    </w:rPr>
  </w:style>
  <w:style w:type="paragraph" w:customStyle="1" w:styleId="ParagraphRandtitel">
    <w:name w:val="Paragraph Randtitel"/>
    <w:basedOn w:val="Standard"/>
    <w:next w:val="Standard1"/>
    <w:link w:val="ParagraphRandtitelZchn"/>
    <w:rsid w:val="008B535D"/>
    <w:pPr>
      <w:tabs>
        <w:tab w:val="left" w:pos="1077"/>
      </w:tabs>
      <w:spacing w:before="280" w:line="240" w:lineRule="auto"/>
      <w:ind w:left="1077" w:hanging="1077"/>
    </w:pPr>
    <w:rPr>
      <w:b/>
      <w:spacing w:val="0"/>
      <w:sz w:val="17"/>
      <w:szCs w:val="20"/>
      <w:lang w:eastAsia="de-CH"/>
    </w:rPr>
  </w:style>
  <w:style w:type="paragraph" w:customStyle="1" w:styleId="Instanzbeschliesst1">
    <w:name w:val="Instanz beschliesst 1"/>
    <w:basedOn w:val="Standard"/>
    <w:next w:val="Instanzbeschliesst2"/>
    <w:rsid w:val="00153DCD"/>
    <w:pPr>
      <w:spacing w:before="170" w:line="240" w:lineRule="auto"/>
      <w:jc w:val="both"/>
    </w:pPr>
    <w:rPr>
      <w:i/>
      <w:spacing w:val="0"/>
      <w:sz w:val="17"/>
      <w:szCs w:val="20"/>
      <w:lang w:eastAsia="de-CH"/>
    </w:rPr>
  </w:style>
  <w:style w:type="paragraph" w:styleId="Endnotentext">
    <w:name w:val="endnote text"/>
    <w:basedOn w:val="Standard"/>
    <w:semiHidden/>
    <w:rsid w:val="00153DCD"/>
    <w:pPr>
      <w:spacing w:line="240" w:lineRule="auto"/>
      <w:jc w:val="both"/>
    </w:pPr>
    <w:rPr>
      <w:spacing w:val="0"/>
      <w:sz w:val="14"/>
      <w:szCs w:val="20"/>
      <w:lang w:eastAsia="de-CH"/>
    </w:rPr>
  </w:style>
  <w:style w:type="character" w:styleId="Endnotenzeichen">
    <w:name w:val="endnote reference"/>
    <w:semiHidden/>
    <w:rsid w:val="00153DCD"/>
    <w:rPr>
      <w:rFonts w:ascii="TradeGothic" w:hAnsi="TradeGothic"/>
      <w:smallCaps/>
      <w:sz w:val="17"/>
      <w:vertAlign w:val="superscript"/>
    </w:rPr>
  </w:style>
  <w:style w:type="character" w:styleId="Hyperlink">
    <w:name w:val="Hyperlink"/>
    <w:rsid w:val="00303251"/>
    <w:rPr>
      <w:color w:val="0000FF"/>
      <w:u w:val="single"/>
    </w:rPr>
  </w:style>
  <w:style w:type="paragraph" w:styleId="StandardWeb">
    <w:name w:val="Normal (Web)"/>
    <w:basedOn w:val="Standard"/>
    <w:rsid w:val="009F1570"/>
    <w:pPr>
      <w:spacing w:before="100" w:beforeAutospacing="1" w:after="100" w:afterAutospacing="1" w:line="240" w:lineRule="auto"/>
    </w:pPr>
    <w:rPr>
      <w:rFonts w:ascii="Times New Roman" w:hAnsi="Times New Roman"/>
      <w:spacing w:val="0"/>
      <w:sz w:val="24"/>
      <w:szCs w:val="24"/>
      <w:lang w:eastAsia="de-CH"/>
    </w:rPr>
  </w:style>
  <w:style w:type="paragraph" w:customStyle="1" w:styleId="Listenabsatz1">
    <w:name w:val="Listenabsatz1"/>
    <w:rsid w:val="00D3346B"/>
    <w:pPr>
      <w:ind w:left="720"/>
    </w:pPr>
    <w:rPr>
      <w:rFonts w:ascii="Cambria" w:eastAsia="ヒラギノ角ゴ Pro W3" w:hAnsi="Cambria"/>
      <w:color w:val="000000"/>
      <w:sz w:val="24"/>
      <w:lang w:val="de-DE" w:eastAsia="de-DE"/>
    </w:rPr>
  </w:style>
  <w:style w:type="paragraph" w:styleId="Listenabsatz">
    <w:name w:val="List Paragraph"/>
    <w:basedOn w:val="Standard"/>
    <w:qFormat/>
    <w:rsid w:val="00D3346B"/>
    <w:pPr>
      <w:spacing w:line="240" w:lineRule="auto"/>
      <w:ind w:left="708"/>
    </w:pPr>
    <w:rPr>
      <w:rFonts w:ascii="Times" w:eastAsia="ヒラギノ角ゴ Pro W3" w:hAnsi="Times"/>
      <w:color w:val="000000"/>
      <w:spacing w:val="0"/>
      <w:sz w:val="24"/>
      <w:szCs w:val="24"/>
      <w:lang w:val="de-DE"/>
    </w:rPr>
  </w:style>
  <w:style w:type="paragraph" w:customStyle="1" w:styleId="Erlassdatum">
    <w:name w:val="Erlassdatum"/>
    <w:basedOn w:val="Standard"/>
    <w:next w:val="Instanz"/>
    <w:rsid w:val="00BA4A5C"/>
    <w:pPr>
      <w:spacing w:before="170" w:after="280" w:line="240" w:lineRule="auto"/>
      <w:jc w:val="both"/>
    </w:pPr>
    <w:rPr>
      <w:spacing w:val="0"/>
      <w:sz w:val="17"/>
      <w:szCs w:val="20"/>
      <w:lang w:eastAsia="de-CH"/>
    </w:rPr>
  </w:style>
  <w:style w:type="paragraph" w:customStyle="1" w:styleId="Instanz">
    <w:name w:val="Instanz"/>
    <w:basedOn w:val="Standard"/>
    <w:next w:val="Standard1"/>
    <w:rsid w:val="00BA4A5C"/>
    <w:pPr>
      <w:spacing w:line="240" w:lineRule="auto"/>
      <w:jc w:val="both"/>
    </w:pPr>
    <w:rPr>
      <w:i/>
      <w:spacing w:val="0"/>
      <w:sz w:val="17"/>
      <w:szCs w:val="20"/>
      <w:lang w:eastAsia="de-CH"/>
    </w:rPr>
  </w:style>
  <w:style w:type="character" w:customStyle="1" w:styleId="ParagraphRandtitelZchn">
    <w:name w:val="Paragraph Randtitel Zchn"/>
    <w:link w:val="ParagraphRandtitel"/>
    <w:rsid w:val="00BA4A5C"/>
    <w:rPr>
      <w:rFonts w:ascii="TradeGothic" w:hAnsi="TradeGothic"/>
      <w:b/>
      <w:sz w:val="17"/>
      <w:lang w:val="de-CH" w:eastAsia="de-CH" w:bidi="ar-SA"/>
    </w:rPr>
  </w:style>
  <w:style w:type="paragraph" w:styleId="Kopfzeile">
    <w:name w:val="header"/>
    <w:basedOn w:val="Standard"/>
    <w:link w:val="KopfzeileZchn"/>
    <w:rsid w:val="001B59D5"/>
    <w:pPr>
      <w:tabs>
        <w:tab w:val="center" w:pos="4536"/>
        <w:tab w:val="right" w:pos="9072"/>
      </w:tabs>
    </w:pPr>
  </w:style>
  <w:style w:type="character" w:customStyle="1" w:styleId="KopfzeileZchn">
    <w:name w:val="Kopfzeile Zchn"/>
    <w:link w:val="Kopfzeile"/>
    <w:rsid w:val="001B59D5"/>
    <w:rPr>
      <w:rFonts w:ascii="TradeGothic" w:hAnsi="TradeGothic"/>
      <w:spacing w:val="-3"/>
      <w:sz w:val="22"/>
      <w:szCs w:val="22"/>
      <w:lang w:eastAsia="en-US"/>
    </w:rPr>
  </w:style>
  <w:style w:type="character" w:customStyle="1" w:styleId="FuzeileZchn">
    <w:name w:val="Fußzeile Zchn"/>
    <w:link w:val="Fuzeile"/>
    <w:uiPriority w:val="99"/>
    <w:rsid w:val="00FD354F"/>
    <w:rPr>
      <w:rFonts w:ascii="TradeGothic" w:hAnsi="TradeGothic"/>
      <w:spacing w:val="-3"/>
      <w:sz w:val="22"/>
      <w:szCs w:val="22"/>
      <w:lang w:eastAsia="en-US"/>
    </w:rPr>
  </w:style>
  <w:style w:type="paragraph" w:styleId="Sprechblasentext">
    <w:name w:val="Balloon Text"/>
    <w:basedOn w:val="Standard"/>
    <w:link w:val="SprechblasentextZchn"/>
    <w:rsid w:val="003E4FC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3E4FCD"/>
    <w:rPr>
      <w:rFonts w:ascii="Segoe UI" w:hAnsi="Segoe UI" w:cs="Segoe UI"/>
      <w:spacing w:val="-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7576">
      <w:bodyDiv w:val="1"/>
      <w:marLeft w:val="0"/>
      <w:marRight w:val="0"/>
      <w:marTop w:val="0"/>
      <w:marBottom w:val="0"/>
      <w:divBdr>
        <w:top w:val="none" w:sz="0" w:space="0" w:color="auto"/>
        <w:left w:val="none" w:sz="0" w:space="0" w:color="auto"/>
        <w:bottom w:val="none" w:sz="0" w:space="0" w:color="auto"/>
        <w:right w:val="none" w:sz="0" w:space="0" w:color="auto"/>
      </w:divBdr>
    </w:div>
    <w:div w:id="850677436">
      <w:bodyDiv w:val="1"/>
      <w:marLeft w:val="0"/>
      <w:marRight w:val="0"/>
      <w:marTop w:val="0"/>
      <w:marBottom w:val="0"/>
      <w:divBdr>
        <w:top w:val="none" w:sz="0" w:space="0" w:color="auto"/>
        <w:left w:val="none" w:sz="0" w:space="0" w:color="auto"/>
        <w:bottom w:val="none" w:sz="0" w:space="0" w:color="auto"/>
        <w:right w:val="none" w:sz="0" w:space="0" w:color="auto"/>
      </w:divBdr>
    </w:div>
    <w:div w:id="1656954259">
      <w:bodyDiv w:val="1"/>
      <w:marLeft w:val="0"/>
      <w:marRight w:val="0"/>
      <w:marTop w:val="0"/>
      <w:marBottom w:val="0"/>
      <w:divBdr>
        <w:top w:val="none" w:sz="0" w:space="0" w:color="auto"/>
        <w:left w:val="none" w:sz="0" w:space="0" w:color="auto"/>
        <w:bottom w:val="none" w:sz="0" w:space="0" w:color="auto"/>
        <w:right w:val="none" w:sz="0" w:space="0" w:color="auto"/>
      </w:divBdr>
    </w:div>
    <w:div w:id="209840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sz.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19FF-3069-4689-9B7B-0A61C17F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789A776E.dotm</Template>
  <TotalTime>0</TotalTime>
  <Pages>6</Pages>
  <Words>1299</Words>
  <Characters>8184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1 1</vt:lpstr>
    </vt:vector>
  </TitlesOfParts>
  <Company>Kantonale Verwaltung Schwyz</Company>
  <LinksUpToDate>false</LinksUpToDate>
  <CharactersWithSpaces>9465</CharactersWithSpaces>
  <SharedDoc>false</SharedDoc>
  <HLinks>
    <vt:vector size="6" baseType="variant">
      <vt:variant>
        <vt:i4>6094963</vt:i4>
      </vt:variant>
      <vt:variant>
        <vt:i4>0</vt:i4>
      </vt:variant>
      <vt:variant>
        <vt:i4>0</vt:i4>
      </vt:variant>
      <vt:variant>
        <vt:i4>5</vt:i4>
      </vt:variant>
      <vt:variant>
        <vt:lpwstr>mailto:fd@sz.ch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1</dc:title>
  <dc:subject/>
  <dc:creator>Dr. Mathias E. Brun</dc:creator>
  <cp:keywords/>
  <cp:lastModifiedBy>Stefanie Nideröst</cp:lastModifiedBy>
  <cp:revision>9</cp:revision>
  <cp:lastPrinted>2020-05-07T11:20:00Z</cp:lastPrinted>
  <dcterms:created xsi:type="dcterms:W3CDTF">2020-05-06T06:30:00Z</dcterms:created>
  <dcterms:modified xsi:type="dcterms:W3CDTF">2020-05-07T11:50:00Z</dcterms:modified>
</cp:coreProperties>
</file>